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13B9" w14:textId="2D3EDED1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844DAA">
        <w:rPr>
          <w:rFonts w:ascii="Arial" w:hAnsi="Arial" w:cs="Arial"/>
          <w:b/>
          <w:color w:val="0070C0"/>
          <w:lang w:val="en-US"/>
        </w:rPr>
        <w:t xml:space="preserve">Archaeal </w:t>
      </w:r>
      <w:r w:rsidR="009F59FB">
        <w:rPr>
          <w:rFonts w:ascii="Arial" w:hAnsi="Arial" w:cs="Arial"/>
          <w:b/>
          <w:color w:val="0070C0"/>
          <w:lang w:val="en-US"/>
        </w:rPr>
        <w:t>diversity</w:t>
      </w:r>
    </w:p>
    <w:p w14:paraId="362663DE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844DAA" w14:paraId="0E62A125" w14:textId="77777777" w:rsidTr="00081264">
        <w:tc>
          <w:tcPr>
            <w:tcW w:w="1555" w:type="dxa"/>
          </w:tcPr>
          <w:p w14:paraId="79D2164F" w14:textId="77777777" w:rsidR="00B95F85" w:rsidRPr="00081264" w:rsidRDefault="00B95F85" w:rsidP="00081264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</w:tc>
        <w:tc>
          <w:tcPr>
            <w:tcW w:w="7654" w:type="dxa"/>
            <w:vAlign w:val="center"/>
          </w:tcPr>
          <w:p w14:paraId="0BCD308E" w14:textId="77777777" w:rsidR="00C40929" w:rsidRPr="00236626" w:rsidRDefault="009F59FB" w:rsidP="009F59FB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color w:val="326FBB"/>
                <w:lang w:val="en-US"/>
              </w:rPr>
            </w:pPr>
            <w:r w:rsidRPr="00236626">
              <w:rPr>
                <w:rFonts w:ascii="Arial" w:hAnsi="Arial" w:cs="Arial"/>
                <w:b/>
                <w:color w:val="326FBB"/>
                <w:lang w:val="en-US"/>
              </w:rPr>
              <w:t>16S rRNA gene sequences</w:t>
            </w:r>
          </w:p>
          <w:p w14:paraId="2EEEA5FE" w14:textId="77777777" w:rsidR="00236626" w:rsidRPr="00236626" w:rsidRDefault="00236626" w:rsidP="009F59FB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color w:val="326FBB"/>
                <w:lang w:val="en-US"/>
              </w:rPr>
            </w:pPr>
            <w:r w:rsidRPr="002844DF">
              <w:rPr>
                <w:rFonts w:ascii="Arial" w:hAnsi="Arial" w:cs="Arial"/>
                <w:b/>
                <w:color w:val="326FBB"/>
                <w:lang w:val="en-US"/>
              </w:rPr>
              <w:t>concentrations of individual amino acid species</w:t>
            </w:r>
            <w:r w:rsidRPr="00236626">
              <w:rPr>
                <w:rFonts w:ascii="Arial" w:hAnsi="Arial" w:cs="Arial"/>
                <w:b/>
                <w:color w:val="326FBB"/>
                <w:lang w:val="en-US"/>
              </w:rPr>
              <w:t xml:space="preserve"> </w:t>
            </w:r>
          </w:p>
          <w:p w14:paraId="4BEE41E4" w14:textId="1462D01A" w:rsidR="009F59FB" w:rsidRPr="009F59FB" w:rsidRDefault="009F59FB" w:rsidP="009F59FB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 w:rsidRPr="00236626">
              <w:rPr>
                <w:rFonts w:ascii="Arial" w:hAnsi="Arial" w:cs="Arial"/>
                <w:b/>
                <w:color w:val="326FBB"/>
                <w:lang w:val="en-US"/>
              </w:rPr>
              <w:t>microbial growth of incubations</w:t>
            </w:r>
          </w:p>
        </w:tc>
      </w:tr>
    </w:tbl>
    <w:p w14:paraId="78CCCFB2" w14:textId="11E959DA" w:rsidR="00590B44" w:rsidRPr="00DD78A1" w:rsidRDefault="00590B44">
      <w:pPr>
        <w:rPr>
          <w:rFonts w:ascii="Arial" w:hAnsi="Arial" w:cs="Arial"/>
          <w:lang w:val="en-US"/>
        </w:rPr>
      </w:pPr>
    </w:p>
    <w:p w14:paraId="6448D5E6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5942CAAB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7265F475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4C6033C0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21AE215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30420995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70766015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0851065C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276DAD4C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359E0717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0A82C5F7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55F14894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247A4A48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028070F2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14799DA7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18A1C9D1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11C81F9C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45715E7E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2942D1CE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03779100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1D025337" w14:textId="77777777"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2844DF">
        <w:rPr>
          <w:rFonts w:ascii="Arial" w:eastAsia="Arial Unicode MS" w:hAnsi="Arial" w:cs="Arial"/>
          <w:b/>
          <w:color w:val="0070C0"/>
          <w:lang w:val="en-US"/>
        </w:rPr>
        <w:t>Meriel Bittner</w:t>
      </w:r>
    </w:p>
    <w:p w14:paraId="7D3F30E1" w14:textId="77777777" w:rsid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="00E7382A" w:rsidRPr="00E7382A">
        <w:rPr>
          <w:rFonts w:ascii="Arial" w:eastAsia="Arial Unicode MS" w:hAnsi="Arial" w:cs="Arial"/>
          <w:lang w:val="en-US"/>
        </w:rPr>
        <w:t>,</w:t>
      </w:r>
    </w:p>
    <w:p w14:paraId="7C432803" w14:textId="77777777" w:rsidR="00CF2832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="00CF2832" w:rsidRPr="00CF2832">
        <w:rPr>
          <w:rFonts w:ascii="Arial" w:eastAsia="Arial Unicode MS" w:hAnsi="Arial" w:cs="Arial"/>
          <w:lang w:val="en-US"/>
        </w:rPr>
        <w:t>,</w:t>
      </w:r>
    </w:p>
    <w:p w14:paraId="3762FA18" w14:textId="77777777" w:rsidR="00C35F85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14:paraId="6B21400F" w14:textId="77777777" w:rsidR="00CF2832" w:rsidRP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="00E7382A"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14:paraId="75A37B61" w14:textId="77777777" w:rsidR="00386161" w:rsidRDefault="00E7382A" w:rsidP="00DD78A1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="00C35F85" w:rsidRPr="00C35F85">
        <w:rPr>
          <w:rFonts w:ascii="Arial" w:eastAsia="Arial Unicode MS" w:hAnsi="Arial" w:cs="Arial"/>
          <w:lang w:val="en-US"/>
        </w:rPr>
        <w:t>43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1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4277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 xml:space="preserve">764 </w:t>
      </w:r>
      <w:r w:rsidR="002844DF">
        <w:rPr>
          <w:rFonts w:ascii="Arial" w:eastAsia="Arial Unicode MS" w:hAnsi="Arial" w:cs="Arial"/>
          <w:lang w:val="en-US"/>
        </w:rPr>
        <w:t>32</w:t>
      </w:r>
    </w:p>
    <w:p w14:paraId="1BC122DD" w14:textId="77777777" w:rsidR="002844DF" w:rsidRDefault="00003FC9" w:rsidP="00DD78A1">
      <w:pPr>
        <w:ind w:left="2410"/>
        <w:rPr>
          <w:rFonts w:ascii="Arial" w:eastAsia="Arial Unicode MS" w:hAnsi="Arial" w:cs="Arial"/>
          <w:lang w:val="en-US"/>
        </w:rPr>
      </w:pPr>
      <w:hyperlink r:id="rId9" w:history="1">
        <w:r w:rsidR="002844DF" w:rsidRPr="00525B21">
          <w:rPr>
            <w:rStyle w:val="Lienhypertexte"/>
            <w:rFonts w:ascii="Arial" w:eastAsia="Arial Unicode MS" w:hAnsi="Arial" w:cs="Arial"/>
            <w:lang w:val="en-US"/>
          </w:rPr>
          <w:t>meriel.bittner@univie.ac.at</w:t>
        </w:r>
      </w:hyperlink>
    </w:p>
    <w:p w14:paraId="5B633E0B" w14:textId="77777777" w:rsidR="00DD78A1" w:rsidRPr="00E7382A" w:rsidRDefault="00DD78A1" w:rsidP="00DD78A1">
      <w:pPr>
        <w:ind w:left="1843"/>
        <w:rPr>
          <w:rFonts w:ascii="Arial" w:hAnsi="Arial" w:cs="Arial"/>
          <w:lang w:val="en-US"/>
        </w:rPr>
      </w:pPr>
    </w:p>
    <w:p w14:paraId="095009F6" w14:textId="77777777" w:rsidR="00C35F85" w:rsidRPr="00DD78A1" w:rsidRDefault="00DD78A1" w:rsidP="00C35F85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2844DF">
        <w:rPr>
          <w:rFonts w:ascii="Arial" w:eastAsia="Arial Unicode MS" w:hAnsi="Arial" w:cs="Arial"/>
          <w:b/>
          <w:color w:val="0070C0"/>
          <w:lang w:val="en-US"/>
        </w:rPr>
        <w:t>Gerhard Herndl</w:t>
      </w:r>
    </w:p>
    <w:p w14:paraId="5E9ACD4D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Pr="00E7382A">
        <w:rPr>
          <w:rFonts w:ascii="Arial" w:eastAsia="Arial Unicode MS" w:hAnsi="Arial" w:cs="Arial"/>
          <w:lang w:val="en-US"/>
        </w:rPr>
        <w:t>,</w:t>
      </w:r>
    </w:p>
    <w:p w14:paraId="73C2DFE2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Pr="00CF2832">
        <w:rPr>
          <w:rFonts w:ascii="Arial" w:eastAsia="Arial Unicode MS" w:hAnsi="Arial" w:cs="Arial"/>
          <w:lang w:val="en-US"/>
        </w:rPr>
        <w:t>,</w:t>
      </w:r>
    </w:p>
    <w:p w14:paraId="1613C3EF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14:paraId="0F5071C8" w14:textId="77777777" w:rsidR="00C35F85" w:rsidRPr="00E7382A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14:paraId="1C29C3D9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Pr="00C35F85">
        <w:rPr>
          <w:rFonts w:ascii="Arial" w:eastAsia="Arial Unicode MS" w:hAnsi="Arial" w:cs="Arial"/>
          <w:lang w:val="en-US"/>
        </w:rPr>
        <w:t>43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1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4277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 xml:space="preserve">764 </w:t>
      </w:r>
      <w:r w:rsidR="002844DF">
        <w:rPr>
          <w:rFonts w:ascii="Arial" w:eastAsia="Arial Unicode MS" w:hAnsi="Arial" w:cs="Arial"/>
          <w:lang w:val="en-US"/>
        </w:rPr>
        <w:t>31</w:t>
      </w:r>
    </w:p>
    <w:p w14:paraId="094B2C89" w14:textId="77777777" w:rsidR="002F5641" w:rsidRPr="002844DF" w:rsidRDefault="00003FC9" w:rsidP="002844DF">
      <w:pPr>
        <w:ind w:left="2410"/>
        <w:rPr>
          <w:rFonts w:ascii="Arial" w:eastAsia="Arial Unicode MS" w:hAnsi="Arial" w:cs="Arial"/>
          <w:lang w:val="en-US"/>
        </w:rPr>
        <w:sectPr w:rsidR="002F5641" w:rsidRPr="002844DF" w:rsidSect="00751E33">
          <w:headerReference w:type="first" r:id="rId10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  <w:hyperlink r:id="rId11" w:history="1">
        <w:r w:rsidR="002844DF" w:rsidRPr="00525B21">
          <w:rPr>
            <w:rStyle w:val="Lienhypertexte"/>
            <w:rFonts w:ascii="Arial" w:eastAsia="Arial Unicode MS" w:hAnsi="Arial" w:cs="Arial"/>
            <w:lang w:val="en-US"/>
          </w:rPr>
          <w:t>gerhard.herndl@univie.ac.at</w:t>
        </w:r>
      </w:hyperlink>
    </w:p>
    <w:p w14:paraId="23F828F0" w14:textId="77777777" w:rsidR="00DD78A1" w:rsidRPr="00216E19" w:rsidRDefault="00DD78A1" w:rsidP="00DD78A1">
      <w:pPr>
        <w:ind w:left="2410" w:hanging="993"/>
        <w:rPr>
          <w:rFonts w:ascii="Arial" w:hAnsi="Arial" w:cs="Arial"/>
          <w:lang w:val="en-US"/>
        </w:rPr>
      </w:pPr>
    </w:p>
    <w:p w14:paraId="02473644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00F96F3A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7C2CB11A" w14:textId="77777777" w:rsidR="00EC4908" w:rsidRPr="00BE1040" w:rsidRDefault="008B719F" w:rsidP="00EC4908">
      <w:pPr>
        <w:pStyle w:val="Paragraphestandard"/>
        <w:rPr>
          <w:rFonts w:cs="Arial"/>
        </w:rPr>
      </w:pPr>
      <w:r>
        <w:rPr>
          <w:rFonts w:cs="Arial"/>
          <w:snapToGrid w:val="0"/>
          <w:color w:val="000000"/>
        </w:rPr>
        <w:t>Water 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>
        <w:rPr>
          <w:rFonts w:cs="Arial"/>
          <w:snapToGrid w:val="0"/>
          <w:color w:val="000000"/>
        </w:rPr>
        <w:t>the rosette bottles</w:t>
      </w:r>
      <w:r w:rsidR="00132D4D">
        <w:rPr>
          <w:rFonts w:cs="Arial"/>
          <w:snapToGrid w:val="0"/>
          <w:color w:val="000000"/>
        </w:rPr>
        <w:t xml:space="preserve"> at station</w:t>
      </w:r>
      <w:r w:rsidR="008076B9">
        <w:rPr>
          <w:rFonts w:cs="Arial"/>
          <w:snapToGrid w:val="0"/>
          <w:color w:val="000000"/>
        </w:rPr>
        <w:t>s M2 and M4</w:t>
      </w:r>
      <w:r w:rsidR="00132D4D">
        <w:rPr>
          <w:rFonts w:cs="Arial"/>
          <w:snapToGrid w:val="0"/>
          <w:color w:val="000000"/>
        </w:rPr>
        <w:t xml:space="preserve"> </w:t>
      </w:r>
    </w:p>
    <w:p w14:paraId="599329A6" w14:textId="77777777" w:rsidR="004D1212" w:rsidRDefault="004D1212" w:rsidP="000F34B7">
      <w:pPr>
        <w:pStyle w:val="Titre2"/>
      </w:pPr>
      <w:r w:rsidRPr="002F5641">
        <w:t>List of stations sampled</w:t>
      </w:r>
    </w:p>
    <w:p w14:paraId="6D789B23" w14:textId="456D508C" w:rsidR="00A51FE7" w:rsidRDefault="00A51FE7" w:rsidP="00A51FE7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 xml:space="preserve">Sampling details (for abreviations see text </w:t>
      </w:r>
      <w:r w:rsidRPr="00A51FE7">
        <w:rPr>
          <w:b/>
          <w:lang w:val="en-US"/>
        </w:rPr>
        <w:t>§ 3</w:t>
      </w:r>
      <w:r>
        <w:rPr>
          <w:b/>
          <w:lang w:val="en-US"/>
        </w:rPr>
        <w:t xml:space="preserve"> below)</w:t>
      </w:r>
    </w:p>
    <w:tbl>
      <w:tblPr>
        <w:tblW w:w="938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624"/>
        <w:gridCol w:w="624"/>
        <w:gridCol w:w="624"/>
        <w:gridCol w:w="624"/>
        <w:gridCol w:w="624"/>
        <w:gridCol w:w="624"/>
        <w:gridCol w:w="1069"/>
        <w:gridCol w:w="1173"/>
        <w:gridCol w:w="709"/>
        <w:gridCol w:w="992"/>
      </w:tblGrid>
      <w:tr w:rsidR="00A51FE7" w:rsidRPr="00A51FE7" w14:paraId="1D320D41" w14:textId="77777777" w:rsidTr="00652664">
        <w:trPr>
          <w:trHeight w:val="794"/>
          <w:jc w:val="center"/>
        </w:trPr>
        <w:tc>
          <w:tcPr>
            <w:tcW w:w="846" w:type="dxa"/>
            <w:shd w:val="clear" w:color="000000" w:fill="4F81BD"/>
            <w:noWrap/>
            <w:vAlign w:val="center"/>
            <w:hideMark/>
          </w:tcPr>
          <w:p w14:paraId="25077F86" w14:textId="32A898BD" w:rsidR="0053480E" w:rsidRPr="00A51FE7" w:rsidRDefault="00360BF2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</w:t>
            </w:r>
            <w:r w:rsidR="0053480E"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tation</w:t>
            </w:r>
          </w:p>
        </w:tc>
        <w:tc>
          <w:tcPr>
            <w:tcW w:w="850" w:type="dxa"/>
            <w:shd w:val="clear" w:color="000000" w:fill="4F81BD"/>
            <w:noWrap/>
            <w:vAlign w:val="center"/>
            <w:hideMark/>
          </w:tcPr>
          <w:p w14:paraId="2BB40E86" w14:textId="2A8C6C10" w:rsidR="0053480E" w:rsidRPr="00A51FE7" w:rsidRDefault="00360BF2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D</w:t>
            </w:r>
            <w:r w:rsidR="0053480E"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epth</w:t>
            </w:r>
          </w:p>
        </w:tc>
        <w:tc>
          <w:tcPr>
            <w:tcW w:w="624" w:type="dxa"/>
            <w:shd w:val="clear" w:color="000000" w:fill="4F81BD"/>
            <w:noWrap/>
            <w:vAlign w:val="center"/>
            <w:hideMark/>
          </w:tcPr>
          <w:p w14:paraId="359DF22A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AA</w:t>
            </w:r>
          </w:p>
        </w:tc>
        <w:tc>
          <w:tcPr>
            <w:tcW w:w="624" w:type="dxa"/>
            <w:shd w:val="clear" w:color="000000" w:fill="4F81BD"/>
            <w:noWrap/>
            <w:vAlign w:val="center"/>
            <w:hideMark/>
          </w:tcPr>
          <w:p w14:paraId="075FF3AD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AA+E</w:t>
            </w:r>
          </w:p>
        </w:tc>
        <w:tc>
          <w:tcPr>
            <w:tcW w:w="624" w:type="dxa"/>
            <w:shd w:val="clear" w:color="000000" w:fill="4F81BD"/>
            <w:noWrap/>
            <w:vAlign w:val="center"/>
            <w:hideMark/>
          </w:tcPr>
          <w:p w14:paraId="0713F317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FA</w:t>
            </w:r>
          </w:p>
        </w:tc>
        <w:tc>
          <w:tcPr>
            <w:tcW w:w="624" w:type="dxa"/>
            <w:shd w:val="clear" w:color="000000" w:fill="4F81BD"/>
            <w:noWrap/>
            <w:vAlign w:val="center"/>
            <w:hideMark/>
          </w:tcPr>
          <w:p w14:paraId="23617886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FA+E</w:t>
            </w:r>
          </w:p>
        </w:tc>
        <w:tc>
          <w:tcPr>
            <w:tcW w:w="624" w:type="dxa"/>
            <w:shd w:val="clear" w:color="000000" w:fill="4F81BD"/>
            <w:noWrap/>
            <w:vAlign w:val="center"/>
            <w:hideMark/>
          </w:tcPr>
          <w:p w14:paraId="6D5964E0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624" w:type="dxa"/>
            <w:shd w:val="clear" w:color="000000" w:fill="4F81BD"/>
            <w:noWrap/>
            <w:vAlign w:val="center"/>
            <w:hideMark/>
          </w:tcPr>
          <w:p w14:paraId="197FC80F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P+E</w:t>
            </w:r>
          </w:p>
        </w:tc>
        <w:tc>
          <w:tcPr>
            <w:tcW w:w="1069" w:type="dxa"/>
            <w:shd w:val="clear" w:color="000000" w:fill="4F81BD"/>
            <w:noWrap/>
            <w:vAlign w:val="center"/>
            <w:hideMark/>
          </w:tcPr>
          <w:p w14:paraId="562AA377" w14:textId="77777777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sample ID</w:t>
            </w:r>
          </w:p>
        </w:tc>
        <w:tc>
          <w:tcPr>
            <w:tcW w:w="1173" w:type="dxa"/>
            <w:shd w:val="clear" w:color="000000" w:fill="4F81BD"/>
            <w:noWrap/>
            <w:vAlign w:val="center"/>
            <w:hideMark/>
          </w:tcPr>
          <w:p w14:paraId="3CCDF907" w14:textId="681A5DC1" w:rsidR="0053480E" w:rsidRPr="00A51FE7" w:rsidRDefault="00360BF2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Duration of </w:t>
            </w:r>
            <w:r w:rsidR="0053480E"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incubation</w:t>
            </w:r>
          </w:p>
        </w:tc>
        <w:tc>
          <w:tcPr>
            <w:tcW w:w="709" w:type="dxa"/>
            <w:shd w:val="clear" w:color="000000" w:fill="4F81BD"/>
            <w:noWrap/>
            <w:vAlign w:val="center"/>
            <w:hideMark/>
          </w:tcPr>
          <w:p w14:paraId="44D7517E" w14:textId="36933635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CTD</w:t>
            </w:r>
            <w:r w:rsidR="00360BF2"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 #</w:t>
            </w:r>
          </w:p>
        </w:tc>
        <w:tc>
          <w:tcPr>
            <w:tcW w:w="992" w:type="dxa"/>
            <w:shd w:val="clear" w:color="000000" w:fill="4F81BD"/>
            <w:noWrap/>
            <w:vAlign w:val="center"/>
            <w:hideMark/>
          </w:tcPr>
          <w:p w14:paraId="135E2159" w14:textId="36E8E64D" w:rsidR="0053480E" w:rsidRPr="00A51FE7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bottle </w:t>
            </w:r>
            <w:r w:rsidR="00360BF2" w:rsidRPr="00A51FE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#</w:t>
            </w:r>
          </w:p>
        </w:tc>
      </w:tr>
      <w:tr w:rsidR="00A51FE7" w:rsidRPr="00360BF2" w14:paraId="05236FDA" w14:textId="77777777" w:rsidTr="00652664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CED7E7"/>
            <w:noWrap/>
            <w:vAlign w:val="center"/>
            <w:hideMark/>
          </w:tcPr>
          <w:p w14:paraId="243339C0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850" w:type="dxa"/>
            <w:shd w:val="clear" w:color="auto" w:fill="CED7E7"/>
            <w:noWrap/>
            <w:vAlign w:val="center"/>
            <w:hideMark/>
          </w:tcPr>
          <w:p w14:paraId="5C3B4AFF" w14:textId="0D7FC815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69B90714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7A51806D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23B8C099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01C16FBF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74E8B4C5" w14:textId="568B9AF1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1E6BE73A" w14:textId="44C3E39F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9" w:type="dxa"/>
            <w:shd w:val="clear" w:color="auto" w:fill="CED7E7"/>
            <w:noWrap/>
            <w:vAlign w:val="center"/>
            <w:hideMark/>
          </w:tcPr>
          <w:p w14:paraId="2C9257A4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MJB1-8</w:t>
            </w:r>
          </w:p>
        </w:tc>
        <w:tc>
          <w:tcPr>
            <w:tcW w:w="1173" w:type="dxa"/>
            <w:shd w:val="clear" w:color="auto" w:fill="CED7E7"/>
            <w:noWrap/>
            <w:vAlign w:val="center"/>
            <w:hideMark/>
          </w:tcPr>
          <w:p w14:paraId="0538F191" w14:textId="523140A7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 h</w:t>
            </w:r>
          </w:p>
        </w:tc>
        <w:tc>
          <w:tcPr>
            <w:tcW w:w="709" w:type="dxa"/>
            <w:shd w:val="clear" w:color="auto" w:fill="CED7E7"/>
            <w:noWrap/>
            <w:vAlign w:val="center"/>
            <w:hideMark/>
          </w:tcPr>
          <w:p w14:paraId="749809FC" w14:textId="4893565C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92" w:type="dxa"/>
            <w:shd w:val="clear" w:color="auto" w:fill="CED7E7"/>
            <w:noWrap/>
            <w:vAlign w:val="center"/>
            <w:hideMark/>
          </w:tcPr>
          <w:p w14:paraId="07C3FF3D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21-22</w:t>
            </w:r>
          </w:p>
        </w:tc>
      </w:tr>
      <w:tr w:rsidR="00A51FE7" w:rsidRPr="00360BF2" w14:paraId="40B6D04A" w14:textId="77777777" w:rsidTr="00652664">
        <w:trPr>
          <w:trHeight w:val="397"/>
          <w:jc w:val="center"/>
        </w:trPr>
        <w:tc>
          <w:tcPr>
            <w:tcW w:w="846" w:type="dxa"/>
            <w:vMerge/>
            <w:shd w:val="clear" w:color="auto" w:fill="CED7E7"/>
            <w:vAlign w:val="center"/>
            <w:hideMark/>
          </w:tcPr>
          <w:p w14:paraId="3B86A383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auto" w:fill="CED7E7"/>
            <w:noWrap/>
            <w:vAlign w:val="center"/>
            <w:hideMark/>
          </w:tcPr>
          <w:p w14:paraId="373B9D9A" w14:textId="75B19FE9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0519DB97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4C09DDA3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31888F61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5EF15BEC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6C6044D9" w14:textId="2A001CF6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443E2A0C" w14:textId="6163C6CF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9" w:type="dxa"/>
            <w:shd w:val="clear" w:color="auto" w:fill="CED7E7"/>
            <w:noWrap/>
            <w:vAlign w:val="center"/>
            <w:hideMark/>
          </w:tcPr>
          <w:p w14:paraId="1FDFF9E2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MJB9-16</w:t>
            </w:r>
          </w:p>
        </w:tc>
        <w:tc>
          <w:tcPr>
            <w:tcW w:w="1173" w:type="dxa"/>
            <w:shd w:val="clear" w:color="auto" w:fill="CED7E7"/>
            <w:noWrap/>
            <w:vAlign w:val="center"/>
            <w:hideMark/>
          </w:tcPr>
          <w:p w14:paraId="6E821FAD" w14:textId="5E83C400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 h</w:t>
            </w:r>
          </w:p>
        </w:tc>
        <w:tc>
          <w:tcPr>
            <w:tcW w:w="709" w:type="dxa"/>
            <w:shd w:val="clear" w:color="auto" w:fill="CED7E7"/>
            <w:noWrap/>
            <w:vAlign w:val="center"/>
            <w:hideMark/>
          </w:tcPr>
          <w:p w14:paraId="1106221E" w14:textId="5764EFB9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92" w:type="dxa"/>
            <w:shd w:val="clear" w:color="auto" w:fill="CED7E7"/>
            <w:noWrap/>
            <w:vAlign w:val="center"/>
            <w:hideMark/>
          </w:tcPr>
          <w:p w14:paraId="33578C86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12-13</w:t>
            </w:r>
          </w:p>
        </w:tc>
      </w:tr>
      <w:tr w:rsidR="00A51FE7" w:rsidRPr="00360BF2" w14:paraId="1CC968ED" w14:textId="77777777" w:rsidTr="00652664">
        <w:trPr>
          <w:trHeight w:val="397"/>
          <w:jc w:val="center"/>
        </w:trPr>
        <w:tc>
          <w:tcPr>
            <w:tcW w:w="846" w:type="dxa"/>
            <w:vMerge/>
            <w:shd w:val="clear" w:color="auto" w:fill="CED7E7"/>
            <w:vAlign w:val="center"/>
            <w:hideMark/>
          </w:tcPr>
          <w:p w14:paraId="40617808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auto" w:fill="CED7E7"/>
            <w:noWrap/>
            <w:vAlign w:val="center"/>
            <w:hideMark/>
          </w:tcPr>
          <w:p w14:paraId="764699E1" w14:textId="6BF66D71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1900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0D8A37D0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0A8BEFC5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357A1DCD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28D61505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37F12899" w14:textId="4BCECAF1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39AF4FDF" w14:textId="574C4DED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9" w:type="dxa"/>
            <w:shd w:val="clear" w:color="auto" w:fill="CED7E7"/>
            <w:noWrap/>
            <w:vAlign w:val="center"/>
            <w:hideMark/>
          </w:tcPr>
          <w:p w14:paraId="1597F322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MJB17-24</w:t>
            </w:r>
          </w:p>
        </w:tc>
        <w:tc>
          <w:tcPr>
            <w:tcW w:w="1173" w:type="dxa"/>
            <w:shd w:val="clear" w:color="auto" w:fill="CED7E7"/>
            <w:noWrap/>
            <w:vAlign w:val="center"/>
            <w:hideMark/>
          </w:tcPr>
          <w:p w14:paraId="01572005" w14:textId="7A7DE31E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 h</w:t>
            </w:r>
          </w:p>
        </w:tc>
        <w:tc>
          <w:tcPr>
            <w:tcW w:w="709" w:type="dxa"/>
            <w:shd w:val="clear" w:color="auto" w:fill="CED7E7"/>
            <w:noWrap/>
            <w:vAlign w:val="center"/>
            <w:hideMark/>
          </w:tcPr>
          <w:p w14:paraId="067409EE" w14:textId="564D600D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92" w:type="dxa"/>
            <w:shd w:val="clear" w:color="auto" w:fill="CED7E7"/>
            <w:noWrap/>
            <w:vAlign w:val="center"/>
            <w:hideMark/>
          </w:tcPr>
          <w:p w14:paraId="2CADA616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1-2</w:t>
            </w:r>
          </w:p>
        </w:tc>
      </w:tr>
      <w:tr w:rsidR="00A51FE7" w:rsidRPr="00360BF2" w14:paraId="4564E8A9" w14:textId="77777777" w:rsidTr="00652664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E8ECF3"/>
            <w:noWrap/>
            <w:vAlign w:val="center"/>
            <w:hideMark/>
          </w:tcPr>
          <w:p w14:paraId="75CB18DC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850" w:type="dxa"/>
            <w:shd w:val="clear" w:color="auto" w:fill="E8ECF3"/>
            <w:noWrap/>
            <w:vAlign w:val="center"/>
            <w:hideMark/>
          </w:tcPr>
          <w:p w14:paraId="0B85A06E" w14:textId="68D0008A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2068586E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5E153DD7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6FF23EB0" w14:textId="255656CA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3B5BE11F" w14:textId="7C4C471D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4ED82D6A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56531C77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069" w:type="dxa"/>
            <w:shd w:val="clear" w:color="auto" w:fill="E8ECF3"/>
            <w:noWrap/>
            <w:vAlign w:val="center"/>
            <w:hideMark/>
          </w:tcPr>
          <w:p w14:paraId="4D77DCB8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MJB25-33</w:t>
            </w:r>
          </w:p>
        </w:tc>
        <w:tc>
          <w:tcPr>
            <w:tcW w:w="1173" w:type="dxa"/>
            <w:shd w:val="clear" w:color="auto" w:fill="E8ECF3"/>
            <w:noWrap/>
            <w:vAlign w:val="center"/>
            <w:hideMark/>
          </w:tcPr>
          <w:p w14:paraId="0A5B505F" w14:textId="17C32101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 h</w:t>
            </w:r>
          </w:p>
        </w:tc>
        <w:tc>
          <w:tcPr>
            <w:tcW w:w="709" w:type="dxa"/>
            <w:shd w:val="clear" w:color="auto" w:fill="E8ECF3"/>
            <w:noWrap/>
            <w:vAlign w:val="center"/>
            <w:hideMark/>
          </w:tcPr>
          <w:p w14:paraId="6C26F199" w14:textId="716AB660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992" w:type="dxa"/>
            <w:shd w:val="clear" w:color="auto" w:fill="E8ECF3"/>
            <w:noWrap/>
            <w:vAlign w:val="center"/>
            <w:hideMark/>
          </w:tcPr>
          <w:p w14:paraId="2D0F776A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20-21</w:t>
            </w:r>
          </w:p>
        </w:tc>
      </w:tr>
      <w:tr w:rsidR="00A51FE7" w:rsidRPr="00360BF2" w14:paraId="2EA62922" w14:textId="77777777" w:rsidTr="00652664">
        <w:trPr>
          <w:trHeight w:val="397"/>
          <w:jc w:val="center"/>
        </w:trPr>
        <w:tc>
          <w:tcPr>
            <w:tcW w:w="846" w:type="dxa"/>
            <w:vMerge/>
            <w:shd w:val="clear" w:color="auto" w:fill="E8ECF3"/>
            <w:vAlign w:val="center"/>
            <w:hideMark/>
          </w:tcPr>
          <w:p w14:paraId="4B3E7C5A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auto" w:fill="E8ECF3"/>
            <w:noWrap/>
            <w:vAlign w:val="center"/>
            <w:hideMark/>
          </w:tcPr>
          <w:p w14:paraId="3735642F" w14:textId="4D32BC30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16513099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43C22909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0AAD14BE" w14:textId="15512B88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2D0161AA" w14:textId="65FFCDF4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290C89C8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610E7B05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069" w:type="dxa"/>
            <w:shd w:val="clear" w:color="auto" w:fill="E8ECF3"/>
            <w:noWrap/>
            <w:vAlign w:val="center"/>
            <w:hideMark/>
          </w:tcPr>
          <w:p w14:paraId="039265F5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MJB34-40</w:t>
            </w:r>
          </w:p>
        </w:tc>
        <w:tc>
          <w:tcPr>
            <w:tcW w:w="1173" w:type="dxa"/>
            <w:shd w:val="clear" w:color="auto" w:fill="E8ECF3"/>
            <w:noWrap/>
            <w:vAlign w:val="center"/>
            <w:hideMark/>
          </w:tcPr>
          <w:p w14:paraId="225E1424" w14:textId="65914B05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 h</w:t>
            </w:r>
          </w:p>
        </w:tc>
        <w:tc>
          <w:tcPr>
            <w:tcW w:w="709" w:type="dxa"/>
            <w:shd w:val="clear" w:color="auto" w:fill="E8ECF3"/>
            <w:noWrap/>
            <w:vAlign w:val="center"/>
            <w:hideMark/>
          </w:tcPr>
          <w:p w14:paraId="0E375C08" w14:textId="506DBF7D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992" w:type="dxa"/>
            <w:shd w:val="clear" w:color="auto" w:fill="E8ECF3"/>
            <w:noWrap/>
            <w:vAlign w:val="center"/>
            <w:hideMark/>
          </w:tcPr>
          <w:p w14:paraId="7CD26629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9-11</w:t>
            </w:r>
          </w:p>
        </w:tc>
      </w:tr>
      <w:tr w:rsidR="00A51FE7" w:rsidRPr="00360BF2" w14:paraId="36364FA5" w14:textId="77777777" w:rsidTr="00652664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CED7E7"/>
            <w:noWrap/>
            <w:vAlign w:val="center"/>
            <w:hideMark/>
          </w:tcPr>
          <w:p w14:paraId="3784C91B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850" w:type="dxa"/>
            <w:shd w:val="clear" w:color="auto" w:fill="CED7E7"/>
            <w:noWrap/>
            <w:vAlign w:val="center"/>
            <w:hideMark/>
          </w:tcPr>
          <w:p w14:paraId="7C23DCC8" w14:textId="40277607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06D9EBE8" w14:textId="218D09C5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713BD182" w14:textId="3ABC9545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1EE16B34" w14:textId="6FB75593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48DA70D9" w14:textId="675ADC9D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7F280F31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3EDBCD40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069" w:type="dxa"/>
            <w:shd w:val="clear" w:color="auto" w:fill="CED7E7"/>
            <w:noWrap/>
            <w:vAlign w:val="center"/>
            <w:hideMark/>
          </w:tcPr>
          <w:p w14:paraId="115DF33C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MJB41-44</w:t>
            </w:r>
          </w:p>
        </w:tc>
        <w:tc>
          <w:tcPr>
            <w:tcW w:w="1173" w:type="dxa"/>
            <w:shd w:val="clear" w:color="auto" w:fill="CED7E7"/>
            <w:noWrap/>
            <w:vAlign w:val="center"/>
            <w:hideMark/>
          </w:tcPr>
          <w:p w14:paraId="5C48F640" w14:textId="142CC97E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 h</w:t>
            </w:r>
          </w:p>
        </w:tc>
        <w:tc>
          <w:tcPr>
            <w:tcW w:w="709" w:type="dxa"/>
            <w:shd w:val="clear" w:color="auto" w:fill="CED7E7"/>
            <w:noWrap/>
            <w:vAlign w:val="center"/>
            <w:hideMark/>
          </w:tcPr>
          <w:p w14:paraId="761BCA97" w14:textId="61C67639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992" w:type="dxa"/>
            <w:shd w:val="clear" w:color="auto" w:fill="CED7E7"/>
            <w:noWrap/>
            <w:vAlign w:val="center"/>
            <w:hideMark/>
          </w:tcPr>
          <w:p w14:paraId="2337FECA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1-12</w:t>
            </w:r>
          </w:p>
        </w:tc>
      </w:tr>
      <w:tr w:rsidR="00A51FE7" w:rsidRPr="00360BF2" w14:paraId="0AF734D8" w14:textId="77777777" w:rsidTr="00652664">
        <w:trPr>
          <w:trHeight w:val="397"/>
          <w:jc w:val="center"/>
        </w:trPr>
        <w:tc>
          <w:tcPr>
            <w:tcW w:w="846" w:type="dxa"/>
            <w:vMerge/>
            <w:shd w:val="clear" w:color="auto" w:fill="CED7E7"/>
            <w:vAlign w:val="center"/>
            <w:hideMark/>
          </w:tcPr>
          <w:p w14:paraId="5C9A32A0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auto" w:fill="CED7E7"/>
            <w:noWrap/>
            <w:vAlign w:val="center"/>
            <w:hideMark/>
          </w:tcPr>
          <w:p w14:paraId="2294FB1E" w14:textId="0823EF46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4000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48728351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6C2496F6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52C041B8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34A60E7B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618647F8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CED7E7"/>
            <w:noWrap/>
            <w:vAlign w:val="center"/>
            <w:hideMark/>
          </w:tcPr>
          <w:p w14:paraId="7783D347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069" w:type="dxa"/>
            <w:shd w:val="clear" w:color="auto" w:fill="CED7E7"/>
            <w:noWrap/>
            <w:vAlign w:val="center"/>
            <w:hideMark/>
          </w:tcPr>
          <w:p w14:paraId="174D30FF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MJB45-56</w:t>
            </w:r>
          </w:p>
        </w:tc>
        <w:tc>
          <w:tcPr>
            <w:tcW w:w="1173" w:type="dxa"/>
            <w:shd w:val="clear" w:color="auto" w:fill="CED7E7"/>
            <w:noWrap/>
            <w:vAlign w:val="center"/>
            <w:hideMark/>
          </w:tcPr>
          <w:p w14:paraId="075D7730" w14:textId="60E2CD22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 h</w:t>
            </w:r>
          </w:p>
        </w:tc>
        <w:tc>
          <w:tcPr>
            <w:tcW w:w="709" w:type="dxa"/>
            <w:shd w:val="clear" w:color="auto" w:fill="CED7E7"/>
            <w:noWrap/>
            <w:vAlign w:val="center"/>
            <w:hideMark/>
          </w:tcPr>
          <w:p w14:paraId="27B22A08" w14:textId="15B242D9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992" w:type="dxa"/>
            <w:shd w:val="clear" w:color="auto" w:fill="CED7E7"/>
            <w:noWrap/>
            <w:vAlign w:val="center"/>
            <w:hideMark/>
          </w:tcPr>
          <w:p w14:paraId="79033438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3-5</w:t>
            </w:r>
          </w:p>
        </w:tc>
      </w:tr>
      <w:tr w:rsidR="00A51FE7" w:rsidRPr="00360BF2" w14:paraId="35B5B2B6" w14:textId="77777777" w:rsidTr="00652664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E8ECF3"/>
            <w:noWrap/>
            <w:vAlign w:val="center"/>
            <w:hideMark/>
          </w:tcPr>
          <w:p w14:paraId="48B2F68B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850" w:type="dxa"/>
            <w:shd w:val="clear" w:color="auto" w:fill="E8ECF3"/>
            <w:noWrap/>
            <w:vAlign w:val="center"/>
            <w:hideMark/>
          </w:tcPr>
          <w:p w14:paraId="14A9158E" w14:textId="1DFBA8C3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35ACA102" w14:textId="23CE68C0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3AA99AF3" w14:textId="40954EF0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17AA3239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7755754B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2481AE1E" w14:textId="3B022813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1E016FB8" w14:textId="5CC8476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9" w:type="dxa"/>
            <w:shd w:val="clear" w:color="auto" w:fill="E8ECF3"/>
            <w:noWrap/>
            <w:vAlign w:val="center"/>
            <w:hideMark/>
          </w:tcPr>
          <w:p w14:paraId="3827AFE0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MJB57-60</w:t>
            </w:r>
          </w:p>
        </w:tc>
        <w:tc>
          <w:tcPr>
            <w:tcW w:w="1173" w:type="dxa"/>
            <w:shd w:val="clear" w:color="auto" w:fill="E8ECF3"/>
            <w:noWrap/>
            <w:vAlign w:val="center"/>
            <w:hideMark/>
          </w:tcPr>
          <w:p w14:paraId="6592E988" w14:textId="2034866F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 h</w:t>
            </w:r>
          </w:p>
        </w:tc>
        <w:tc>
          <w:tcPr>
            <w:tcW w:w="709" w:type="dxa"/>
            <w:shd w:val="clear" w:color="auto" w:fill="E8ECF3"/>
            <w:noWrap/>
            <w:vAlign w:val="center"/>
            <w:hideMark/>
          </w:tcPr>
          <w:p w14:paraId="5015F958" w14:textId="72BB4603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992" w:type="dxa"/>
            <w:shd w:val="clear" w:color="auto" w:fill="E8ECF3"/>
            <w:noWrap/>
            <w:vAlign w:val="center"/>
            <w:hideMark/>
          </w:tcPr>
          <w:p w14:paraId="760B973B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20-22</w:t>
            </w:r>
          </w:p>
        </w:tc>
      </w:tr>
      <w:tr w:rsidR="00A51FE7" w:rsidRPr="00360BF2" w14:paraId="33CEE5E8" w14:textId="77777777" w:rsidTr="00652664">
        <w:trPr>
          <w:trHeight w:val="397"/>
          <w:jc w:val="center"/>
        </w:trPr>
        <w:tc>
          <w:tcPr>
            <w:tcW w:w="846" w:type="dxa"/>
            <w:vMerge/>
            <w:shd w:val="clear" w:color="auto" w:fill="E8ECF3"/>
            <w:vAlign w:val="center"/>
            <w:hideMark/>
          </w:tcPr>
          <w:p w14:paraId="1695C8C3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auto" w:fill="E8ECF3"/>
            <w:noWrap/>
            <w:vAlign w:val="center"/>
            <w:hideMark/>
          </w:tcPr>
          <w:p w14:paraId="0B438FC0" w14:textId="60763389" w:rsidR="0053480E" w:rsidRPr="00360BF2" w:rsidRDefault="0053480E" w:rsidP="0065266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 w:rsidR="0065266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39EE60FD" w14:textId="0A6826D8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090B9225" w14:textId="58A6D993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1BF24CD1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3979AA52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0B87CEB4" w14:textId="13F5C395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24" w:type="dxa"/>
            <w:shd w:val="clear" w:color="auto" w:fill="E8ECF3"/>
            <w:noWrap/>
            <w:vAlign w:val="center"/>
            <w:hideMark/>
          </w:tcPr>
          <w:p w14:paraId="74118ABB" w14:textId="565CE32D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9" w:type="dxa"/>
            <w:shd w:val="clear" w:color="auto" w:fill="E8ECF3"/>
            <w:noWrap/>
            <w:vAlign w:val="center"/>
            <w:hideMark/>
          </w:tcPr>
          <w:p w14:paraId="600422BD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MJB65-68</w:t>
            </w:r>
          </w:p>
        </w:tc>
        <w:tc>
          <w:tcPr>
            <w:tcW w:w="1173" w:type="dxa"/>
            <w:shd w:val="clear" w:color="auto" w:fill="E8ECF3"/>
            <w:noWrap/>
            <w:vAlign w:val="center"/>
            <w:hideMark/>
          </w:tcPr>
          <w:p w14:paraId="19B5A1C7" w14:textId="5B1D3EC5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 h</w:t>
            </w:r>
          </w:p>
        </w:tc>
        <w:tc>
          <w:tcPr>
            <w:tcW w:w="709" w:type="dxa"/>
            <w:shd w:val="clear" w:color="auto" w:fill="E8ECF3"/>
            <w:noWrap/>
            <w:vAlign w:val="center"/>
            <w:hideMark/>
          </w:tcPr>
          <w:p w14:paraId="680BFF18" w14:textId="1579D05C" w:rsidR="0053480E" w:rsidRPr="00360BF2" w:rsidRDefault="00360BF2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53480E"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992" w:type="dxa"/>
            <w:shd w:val="clear" w:color="auto" w:fill="E8ECF3"/>
            <w:noWrap/>
            <w:vAlign w:val="center"/>
            <w:hideMark/>
          </w:tcPr>
          <w:p w14:paraId="2F463794" w14:textId="77777777" w:rsidR="0053480E" w:rsidRPr="00360BF2" w:rsidRDefault="0053480E" w:rsidP="00A51FE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60B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7-10</w:t>
            </w:r>
          </w:p>
        </w:tc>
      </w:tr>
    </w:tbl>
    <w:p w14:paraId="2356D784" w14:textId="77777777" w:rsidR="0053480E" w:rsidRPr="0053480E" w:rsidRDefault="0053480E" w:rsidP="0053480E">
      <w:pPr>
        <w:rPr>
          <w:lang w:val="en-US"/>
        </w:rPr>
      </w:pPr>
    </w:p>
    <w:p w14:paraId="55969B73" w14:textId="77777777" w:rsidR="00CE2744" w:rsidRPr="00D45FB3" w:rsidRDefault="0035228D" w:rsidP="00D0498F">
      <w:pPr>
        <w:pStyle w:val="Titre1"/>
        <w:rPr>
          <w:lang w:val="en-US"/>
        </w:rPr>
      </w:pPr>
      <w:r w:rsidRPr="00D45FB3">
        <w:rPr>
          <w:lang w:val="en-US"/>
        </w:rPr>
        <w:t>INSTRUMENTS</w:t>
      </w:r>
    </w:p>
    <w:p w14:paraId="0DD662F9" w14:textId="77777777" w:rsidR="004F1081" w:rsidRPr="0035228D" w:rsidRDefault="004F1081" w:rsidP="004F1081">
      <w:pPr>
        <w:pStyle w:val="Paragraphestandard"/>
        <w:ind w:left="2410" w:hanging="1985"/>
      </w:pPr>
      <w:r w:rsidRPr="0035228D">
        <w:t>Instrument Type:</w:t>
      </w:r>
      <w:r>
        <w:tab/>
      </w:r>
      <w:r w:rsidR="00995736" w:rsidRPr="00995736">
        <w:rPr>
          <w:b/>
        </w:rPr>
        <w:t>High Pe</w:t>
      </w:r>
      <w:bookmarkStart w:id="0" w:name="_GoBack"/>
      <w:bookmarkEnd w:id="0"/>
      <w:r w:rsidR="00995736" w:rsidRPr="00995736">
        <w:rPr>
          <w:b/>
        </w:rPr>
        <w:t>rformance Liquid Chromatography</w:t>
      </w:r>
    </w:p>
    <w:p w14:paraId="749F95EA" w14:textId="77777777" w:rsidR="004F1081" w:rsidRPr="00995736" w:rsidRDefault="004F1081" w:rsidP="004F1081">
      <w:pPr>
        <w:pStyle w:val="Paragraphestandard"/>
        <w:spacing w:before="0"/>
        <w:ind w:left="2410" w:hanging="1985"/>
        <w:rPr>
          <w:b/>
        </w:rPr>
      </w:pPr>
      <w:r w:rsidRPr="0035228D">
        <w:t>Manufacturer:</w:t>
      </w:r>
      <w:r>
        <w:tab/>
      </w:r>
      <w:r w:rsidR="00995736">
        <w:rPr>
          <w:b/>
        </w:rPr>
        <w:t>Agilent</w:t>
      </w:r>
    </w:p>
    <w:p w14:paraId="29471956" w14:textId="77777777" w:rsidR="004F1081" w:rsidRPr="00995736" w:rsidRDefault="004F1081" w:rsidP="004F1081">
      <w:pPr>
        <w:pStyle w:val="Paragraphestandard"/>
        <w:spacing w:before="0"/>
        <w:ind w:left="2410" w:hanging="1985"/>
        <w:rPr>
          <w:b/>
        </w:rPr>
      </w:pPr>
      <w:r w:rsidRPr="0035228D">
        <w:t>Model:</w:t>
      </w:r>
      <w:r>
        <w:tab/>
      </w:r>
      <w:r w:rsidR="00995736" w:rsidRPr="00995736">
        <w:rPr>
          <w:b/>
        </w:rPr>
        <w:t>1260 Infinity II Bio-Inert LC System</w:t>
      </w:r>
    </w:p>
    <w:p w14:paraId="27A3BE4D" w14:textId="77777777" w:rsidR="004F1081" w:rsidRDefault="004F1081" w:rsidP="004F1081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="00995736">
        <w:rPr>
          <w:b/>
        </w:rPr>
        <w:t>see below</w:t>
      </w:r>
      <w:r w:rsidR="00736FDD">
        <w:rPr>
          <w:b/>
        </w:rPr>
        <w:t xml:space="preserve">, </w:t>
      </w:r>
      <w:r w:rsidR="00736FDD">
        <w:rPr>
          <w:rFonts w:cs="Arial"/>
          <w:b/>
        </w:rPr>
        <w:t>§</w:t>
      </w:r>
      <w:r w:rsidR="00736FDD">
        <w:rPr>
          <w:b/>
        </w:rPr>
        <w:t xml:space="preserve"> 3.4</w:t>
      </w:r>
    </w:p>
    <w:p w14:paraId="4FC86371" w14:textId="77777777" w:rsidR="00AE2BD6" w:rsidRPr="0035228D" w:rsidRDefault="00AE2BD6" w:rsidP="00D0498F">
      <w:pPr>
        <w:pStyle w:val="Titre1"/>
      </w:pPr>
      <w:r>
        <w:t>DESCRIPTION of PARAMETERS</w:t>
      </w:r>
    </w:p>
    <w:p w14:paraId="559BCD3A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551D087B" w14:textId="77777777" w:rsidR="008076B9" w:rsidRDefault="0060689A" w:rsidP="00132D4D">
      <w:pPr>
        <w:pStyle w:val="Paragraphestandard"/>
      </w:pPr>
      <w:r>
        <w:t xml:space="preserve">Seawater samples </w:t>
      </w:r>
      <w:r w:rsidRPr="00BC64CF">
        <w:t xml:space="preserve">were </w:t>
      </w:r>
      <w:r>
        <w:t>filtered through a 60 µm mesh before being filled into 2 L polycarbonate incubation bottles. Within 24 h after water collec</w:t>
      </w:r>
      <w:r w:rsidR="008076B9">
        <w:t>tion the experimental procedure was started</w:t>
      </w:r>
      <w:r w:rsidR="00132D4D" w:rsidRPr="00BC64CF">
        <w:t>.</w:t>
      </w:r>
    </w:p>
    <w:p w14:paraId="55DB2B6D" w14:textId="4EC6AED0" w:rsidR="00132D4D" w:rsidRPr="00BC64CF" w:rsidRDefault="008076B9" w:rsidP="00132D4D">
      <w:pPr>
        <w:pStyle w:val="Paragraphestandard"/>
      </w:pPr>
      <w:r w:rsidRPr="008076B9">
        <w:t>To investigate the potential archaeal response to the addition of carbon and energy sources, incubation experiments were carried out. Amino acids</w:t>
      </w:r>
      <w:r w:rsidR="00085099">
        <w:t xml:space="preserve"> (AA)</w:t>
      </w:r>
      <w:r w:rsidRPr="008076B9">
        <w:t xml:space="preserve">, fatty acids </w:t>
      </w:r>
      <w:r w:rsidR="00085099">
        <w:t xml:space="preserve">(FA) </w:t>
      </w:r>
      <w:r w:rsidRPr="008076B9">
        <w:t xml:space="preserve">or proteins </w:t>
      </w:r>
      <w:r w:rsidR="00085099">
        <w:t xml:space="preserve">(P) </w:t>
      </w:r>
      <w:r w:rsidRPr="008076B9">
        <w:t>were added as a carbon source to seawater from different depths. The incubation was carried out at 4°C in the dark for at least 7 days. For each treatment two replicates without and two replicates with erythromycin</w:t>
      </w:r>
      <w:r w:rsidR="00085099">
        <w:t xml:space="preserve"> (+E)</w:t>
      </w:r>
      <w:r w:rsidRPr="008076B9">
        <w:t xml:space="preserve"> were used to possibly investigate a clearer archaeal response. Throughout the incubation samples were taken for cell abundance, CARD-FISH and amino acids (only from the treatments with amino acids addition). At the final time point each incubation bottle was filtered onto a </w:t>
      </w:r>
      <w:r w:rsidRPr="008076B9">
        <w:lastRenderedPageBreak/>
        <w:t xml:space="preserve">0.22 µm filter (47 mm diameter, GVWP, Millipore) and stored at </w:t>
      </w:r>
      <w:r>
        <w:t>–</w:t>
      </w:r>
      <w:r w:rsidRPr="008076B9">
        <w:t>80°C until DNA extraction.</w:t>
      </w:r>
    </w:p>
    <w:p w14:paraId="541DDF25" w14:textId="77777777" w:rsidR="00AE2BD6" w:rsidRDefault="00AE2BD6" w:rsidP="00D0498F">
      <w:pPr>
        <w:pStyle w:val="Titre2"/>
      </w:pPr>
      <w:r>
        <w:t>Analytical procedure</w:t>
      </w:r>
    </w:p>
    <w:p w14:paraId="19067386" w14:textId="77777777" w:rsidR="008076B9" w:rsidRPr="00AF3274" w:rsidRDefault="008076B9" w:rsidP="008076B9">
      <w:pPr>
        <w:pStyle w:val="Paragraphestandard"/>
      </w:pPr>
      <w:r>
        <w:rPr>
          <w:snapToGrid w:val="0"/>
        </w:rPr>
        <w:t xml:space="preserve">Prokaryotic abundance samples will be analyzed within a month in the home lab by flow cytometry and available thereafter. Amino acids will be available after 6 months and analyzed by </w:t>
      </w:r>
      <w:r w:rsidRPr="000D7395">
        <w:rPr>
          <w:rFonts w:cs="Arial"/>
          <w:lang w:val="en-GB"/>
        </w:rPr>
        <w:t>high-pressure</w:t>
      </w:r>
      <w:r>
        <w:rPr>
          <w:rFonts w:cs="Arial"/>
          <w:lang w:val="en-GB"/>
        </w:rPr>
        <w:t xml:space="preserve"> liquid chromatography (HPLC) (Clifford </w:t>
      </w:r>
      <w:r w:rsidRPr="008076B9">
        <w:rPr>
          <w:rFonts w:cs="Arial"/>
          <w:i/>
        </w:rPr>
        <w:t>et al</w:t>
      </w:r>
      <w:r w:rsidRPr="008076B9">
        <w:rPr>
          <w:rFonts w:cs="Arial"/>
          <w:i/>
          <w:lang w:val="en-GB"/>
        </w:rPr>
        <w:t>.</w:t>
      </w:r>
      <w:r>
        <w:rPr>
          <w:rFonts w:cs="Arial"/>
          <w:i/>
          <w:lang w:val="en-GB"/>
        </w:rPr>
        <w:t>,</w:t>
      </w:r>
      <w:r>
        <w:rPr>
          <w:rFonts w:cs="Arial"/>
          <w:lang w:val="en-GB"/>
        </w:rPr>
        <w:t xml:space="preserve"> 2017)</w:t>
      </w:r>
      <w:r>
        <w:rPr>
          <w:snapToGrid w:val="0"/>
        </w:rPr>
        <w:t xml:space="preserve">. CARD-FISH filters will initially be archived in the home lab and analyzed within a year or upon request or depending on the data analysis according to Teira </w:t>
      </w:r>
      <w:r w:rsidRPr="008076B9">
        <w:rPr>
          <w:i/>
          <w:snapToGrid w:val="0"/>
        </w:rPr>
        <w:t>et al.</w:t>
      </w:r>
      <w:r>
        <w:rPr>
          <w:snapToGrid w:val="0"/>
        </w:rPr>
        <w:t xml:space="preserve"> (2006). DNA samples for 16S rRNA analyses of incubations will be analyzed on request or in the framework of a MSc thesis. Finally, </w:t>
      </w:r>
      <w:r>
        <w:rPr>
          <w:rFonts w:cs="Arial"/>
        </w:rPr>
        <w:t>relative and absolute abundance measurements of heterotrophic archaea will be available.</w:t>
      </w:r>
    </w:p>
    <w:p w14:paraId="278A906E" w14:textId="77777777" w:rsidR="00CE0233" w:rsidRDefault="00CE0233" w:rsidP="00CE0233">
      <w:pPr>
        <w:pStyle w:val="Titre2"/>
      </w:pPr>
      <w:r>
        <w:t>Units</w:t>
      </w:r>
    </w:p>
    <w:p w14:paraId="1950F8C7" w14:textId="77777777" w:rsidR="00E81A2E" w:rsidRPr="00E81A2E" w:rsidRDefault="00E81A2E" w:rsidP="00E81A2E">
      <w:pPr>
        <w:rPr>
          <w:lang w:val="en-US"/>
        </w:rPr>
      </w:pPr>
    </w:p>
    <w:p w14:paraId="652BA641" w14:textId="77777777" w:rsidR="00A51FE7" w:rsidRPr="00A40EE8" w:rsidRDefault="00A51FE7" w:rsidP="00A51FE7">
      <w:pPr>
        <w:pStyle w:val="Listepersonnellepuces"/>
        <w:tabs>
          <w:tab w:val="left" w:pos="4678"/>
        </w:tabs>
      </w:pPr>
      <w:r>
        <w:rPr>
          <w:lang w:val="en-US"/>
        </w:rPr>
        <w:t>Prokaryotic abundance</w:t>
      </w:r>
      <w:r w:rsidRPr="00A40EE8">
        <w:tab/>
      </w:r>
      <w:r>
        <w:t>cells mL</w:t>
      </w:r>
      <w:r w:rsidRPr="00A40EE8">
        <w:rPr>
          <w:vertAlign w:val="superscript"/>
          <w:lang w:val="en-US"/>
        </w:rPr>
        <w:t>–1</w:t>
      </w:r>
    </w:p>
    <w:p w14:paraId="5425300C" w14:textId="6CC347DA" w:rsidR="00A51FE7" w:rsidRPr="00A40EE8" w:rsidRDefault="00A51FE7" w:rsidP="00A51FE7">
      <w:pPr>
        <w:pStyle w:val="Listepersonnellepuces"/>
        <w:tabs>
          <w:tab w:val="left" w:pos="4678"/>
        </w:tabs>
      </w:pPr>
      <w:r>
        <w:rPr>
          <w:lang w:val="en-US"/>
        </w:rPr>
        <w:t>Specific archaeal abundance</w:t>
      </w:r>
      <w:r w:rsidRPr="00A40EE8">
        <w:tab/>
      </w:r>
      <w:r>
        <w:t>cells mL</w:t>
      </w:r>
      <w:r w:rsidRPr="00A40EE8">
        <w:rPr>
          <w:vertAlign w:val="superscript"/>
          <w:lang w:val="en-US"/>
        </w:rPr>
        <w:t>–1</w:t>
      </w:r>
    </w:p>
    <w:p w14:paraId="72992997" w14:textId="0E0394FD" w:rsidR="00A51FE7" w:rsidRPr="00A40EE8" w:rsidRDefault="00A51FE7" w:rsidP="00A51FE7">
      <w:pPr>
        <w:pStyle w:val="Listepersonnellepuces"/>
        <w:tabs>
          <w:tab w:val="left" w:pos="4678"/>
        </w:tabs>
      </w:pPr>
      <w:r>
        <w:rPr>
          <w:lang w:val="en-US"/>
        </w:rPr>
        <w:t>Genomics (Amplicon sequencing)</w:t>
      </w:r>
      <w:r w:rsidRPr="00A40EE8">
        <w:tab/>
      </w:r>
      <w:r>
        <w:t>N/A</w:t>
      </w:r>
    </w:p>
    <w:p w14:paraId="6675334C" w14:textId="3FF58BE7" w:rsidR="00A51FE7" w:rsidRPr="00A40EE8" w:rsidRDefault="00A51FE7" w:rsidP="00A51FE7">
      <w:pPr>
        <w:pStyle w:val="Listepersonnellepuces"/>
        <w:tabs>
          <w:tab w:val="left" w:pos="4678"/>
        </w:tabs>
      </w:pPr>
      <w:r>
        <w:rPr>
          <w:lang w:val="en-US"/>
        </w:rPr>
        <w:t>Amino acid concentrations</w:t>
      </w:r>
      <w:r w:rsidRPr="00A40EE8">
        <w:tab/>
      </w:r>
      <w:r>
        <w:t>nM</w:t>
      </w:r>
    </w:p>
    <w:p w14:paraId="1B863FD4" w14:textId="77777777" w:rsidR="00085099" w:rsidRPr="00A51FE7" w:rsidRDefault="00085099" w:rsidP="00085099">
      <w:pPr>
        <w:rPr>
          <w:lang w:val="en-GB"/>
        </w:rPr>
      </w:pPr>
    </w:p>
    <w:p w14:paraId="5285BF87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70118EE2" w14:textId="1DBF8DCD" w:rsidR="00995736" w:rsidRPr="008076B9" w:rsidRDefault="008076B9" w:rsidP="00995736">
      <w:pPr>
        <w:pStyle w:val="Paragraphestandard"/>
        <w:rPr>
          <w:snapToGrid w:val="0"/>
          <w:color w:val="FF0000"/>
        </w:rPr>
      </w:pPr>
      <w:r w:rsidRPr="00085099">
        <w:rPr>
          <w:snapToGrid w:val="0"/>
          <w:color w:val="000000" w:themeColor="text1"/>
        </w:rPr>
        <w:t>N/A</w:t>
      </w:r>
    </w:p>
    <w:p w14:paraId="6CA36311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531C83D4" w14:textId="77777777" w:rsidR="00D0498F" w:rsidRPr="00D0498F" w:rsidRDefault="00D0498F" w:rsidP="00D0498F">
      <w:pPr>
        <w:pStyle w:val="Paragraphestandard"/>
      </w:pPr>
      <w:r>
        <w:t>N/A</w:t>
      </w:r>
    </w:p>
    <w:p w14:paraId="07FA3136" w14:textId="77777777" w:rsidR="00AE2BD6" w:rsidRDefault="00AE2BD6" w:rsidP="00D0498F">
      <w:pPr>
        <w:pStyle w:val="Titre2"/>
      </w:pPr>
      <w:r w:rsidRPr="00AE2BD6">
        <w:t>Estimated Date of Delivery</w:t>
      </w:r>
    </w:p>
    <w:p w14:paraId="243EAC40" w14:textId="6B8081D3" w:rsidR="004F1081" w:rsidRPr="00CE0233" w:rsidRDefault="00480A31" w:rsidP="00995736">
      <w:pPr>
        <w:pStyle w:val="Paragraphestandard"/>
      </w:pPr>
      <w:r>
        <w:t>Amplicon sequencing data and amino acids a</w:t>
      </w:r>
      <w:r w:rsidR="009F59FB">
        <w:t>pproximately 1 to 1.</w:t>
      </w:r>
      <w:r>
        <w:t xml:space="preserve">5 years after the end of the cruise. Cell abundances and CARD-FISH </w:t>
      </w:r>
      <w:r w:rsidR="009F59FB">
        <w:t>will be available after 0.5 to 1 year later.</w:t>
      </w:r>
    </w:p>
    <w:p w14:paraId="1362DF9B" w14:textId="77777777" w:rsidR="00AE2BD6" w:rsidRDefault="00D0498F" w:rsidP="00D0498F">
      <w:pPr>
        <w:pStyle w:val="Titre1"/>
      </w:pPr>
      <w:r w:rsidRPr="00F56736">
        <w:rPr>
          <w:lang w:val="en-US"/>
        </w:rPr>
        <w:t>BIBLI</w:t>
      </w:r>
      <w:r w:rsidRPr="00D0498F">
        <w:t>OGRAPHY</w:t>
      </w:r>
    </w:p>
    <w:p w14:paraId="5328F44E" w14:textId="77777777" w:rsidR="00995736" w:rsidRPr="00995736" w:rsidRDefault="00995736" w:rsidP="00995736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995736">
        <w:rPr>
          <w:lang w:val="en-US"/>
        </w:rPr>
        <w:t>Clifford E</w:t>
      </w:r>
      <w:r>
        <w:rPr>
          <w:lang w:val="en-US"/>
        </w:rPr>
        <w:t>.</w:t>
      </w:r>
      <w:r w:rsidRPr="00995736">
        <w:rPr>
          <w:lang w:val="en-US"/>
        </w:rPr>
        <w:t>L</w:t>
      </w:r>
      <w:r>
        <w:rPr>
          <w:lang w:val="en-US"/>
        </w:rPr>
        <w:t>.</w:t>
      </w:r>
      <w:r w:rsidRPr="00995736">
        <w:rPr>
          <w:lang w:val="en-US"/>
        </w:rPr>
        <w:t>, Sintes E</w:t>
      </w:r>
      <w:r>
        <w:rPr>
          <w:lang w:val="en-US"/>
        </w:rPr>
        <w:t>.</w:t>
      </w:r>
      <w:r w:rsidRPr="00995736">
        <w:rPr>
          <w:lang w:val="en-US"/>
        </w:rPr>
        <w:t>, Hansell D</w:t>
      </w:r>
      <w:r>
        <w:rPr>
          <w:lang w:val="en-US"/>
        </w:rPr>
        <w:t>.</w:t>
      </w:r>
      <w:r w:rsidRPr="00995736">
        <w:rPr>
          <w:lang w:val="en-US"/>
        </w:rPr>
        <w:t>A</w:t>
      </w:r>
      <w:r>
        <w:rPr>
          <w:lang w:val="en-US"/>
        </w:rPr>
        <w:t>.</w:t>
      </w:r>
      <w:r w:rsidRPr="00995736">
        <w:rPr>
          <w:lang w:val="en-US"/>
        </w:rPr>
        <w:t>, Varela M</w:t>
      </w:r>
      <w:r>
        <w:rPr>
          <w:lang w:val="en-US"/>
        </w:rPr>
        <w:t>.</w:t>
      </w:r>
      <w:r w:rsidRPr="00995736">
        <w:rPr>
          <w:lang w:val="en-US"/>
        </w:rPr>
        <w:t>M</w:t>
      </w:r>
      <w:r>
        <w:rPr>
          <w:lang w:val="en-US"/>
        </w:rPr>
        <w:t>.</w:t>
      </w:r>
      <w:r w:rsidRPr="00995736">
        <w:rPr>
          <w:lang w:val="en-US"/>
        </w:rPr>
        <w:t>, Nieto-cid M</w:t>
      </w:r>
      <w:r>
        <w:rPr>
          <w:lang w:val="en-US"/>
        </w:rPr>
        <w:t>.</w:t>
      </w:r>
      <w:r w:rsidRPr="00995736">
        <w:rPr>
          <w:lang w:val="en-US"/>
        </w:rPr>
        <w:t>, Herndl G</w:t>
      </w:r>
      <w:r>
        <w:rPr>
          <w:lang w:val="en-US"/>
        </w:rPr>
        <w:t>.</w:t>
      </w:r>
      <w:r w:rsidRPr="00995736">
        <w:rPr>
          <w:lang w:val="en-US"/>
        </w:rPr>
        <w:t>J</w:t>
      </w:r>
      <w:r>
        <w:rPr>
          <w:lang w:val="en-US"/>
        </w:rPr>
        <w:t>., 2017.</w:t>
      </w:r>
      <w:r w:rsidRPr="00995736">
        <w:rPr>
          <w:lang w:val="en-US"/>
        </w:rPr>
        <w:t xml:space="preserve"> Crustacean zooplankton release copious amounts of dissolved organic matter as taurine in the ocean. </w:t>
      </w:r>
      <w:r w:rsidRPr="00995736">
        <w:rPr>
          <w:i/>
          <w:lang w:val="en-US"/>
        </w:rPr>
        <w:t>Limnology &amp; Oceanography</w:t>
      </w:r>
      <w:r>
        <w:rPr>
          <w:lang w:val="en-US"/>
        </w:rPr>
        <w:t>,</w:t>
      </w:r>
      <w:r w:rsidRPr="00995736">
        <w:rPr>
          <w:lang w:val="en-US"/>
        </w:rPr>
        <w:t xml:space="preserve"> </w:t>
      </w:r>
      <w:r w:rsidRPr="00995736">
        <w:rPr>
          <w:b/>
          <w:lang w:val="en-US"/>
        </w:rPr>
        <w:t>62</w:t>
      </w:r>
      <w:r>
        <w:rPr>
          <w:lang w:val="en-US"/>
        </w:rPr>
        <w:t xml:space="preserve">, </w:t>
      </w:r>
      <w:r w:rsidRPr="00995736">
        <w:rPr>
          <w:lang w:val="en-US"/>
        </w:rPr>
        <w:t>2745–2758</w:t>
      </w:r>
    </w:p>
    <w:p w14:paraId="65313A9C" w14:textId="77777777" w:rsidR="008076B9" w:rsidRPr="006B178E" w:rsidRDefault="008076B9" w:rsidP="008076B9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6B178E">
        <w:rPr>
          <w:lang w:val="en-US"/>
        </w:rPr>
        <w:t>Teira E</w:t>
      </w:r>
      <w:r>
        <w:rPr>
          <w:lang w:val="en-US"/>
        </w:rPr>
        <w:t>.</w:t>
      </w:r>
      <w:r w:rsidRPr="006B178E">
        <w:rPr>
          <w:lang w:val="en-US"/>
        </w:rPr>
        <w:t>, Lebaron P</w:t>
      </w:r>
      <w:r>
        <w:rPr>
          <w:lang w:val="en-US"/>
        </w:rPr>
        <w:t>.</w:t>
      </w:r>
      <w:r w:rsidRPr="006B178E">
        <w:rPr>
          <w:lang w:val="en-US"/>
        </w:rPr>
        <w:t>, van Aken H</w:t>
      </w:r>
      <w:r>
        <w:rPr>
          <w:lang w:val="en-US"/>
        </w:rPr>
        <w:t>.</w:t>
      </w:r>
      <w:r w:rsidRPr="006B178E">
        <w:rPr>
          <w:lang w:val="en-US"/>
        </w:rPr>
        <w:t>M</w:t>
      </w:r>
      <w:r>
        <w:rPr>
          <w:lang w:val="en-US"/>
        </w:rPr>
        <w:t>.</w:t>
      </w:r>
      <w:r w:rsidRPr="006B178E">
        <w:rPr>
          <w:lang w:val="en-US"/>
        </w:rPr>
        <w:t>, Herndl G</w:t>
      </w:r>
      <w:r>
        <w:rPr>
          <w:lang w:val="en-US"/>
        </w:rPr>
        <w:t>.</w:t>
      </w:r>
      <w:r w:rsidRPr="006B178E">
        <w:rPr>
          <w:lang w:val="en-US"/>
        </w:rPr>
        <w:t>J</w:t>
      </w:r>
      <w:r>
        <w:rPr>
          <w:lang w:val="en-US"/>
        </w:rPr>
        <w:t xml:space="preserve">., </w:t>
      </w:r>
      <w:r w:rsidRPr="006B178E">
        <w:rPr>
          <w:lang w:val="en-US"/>
        </w:rPr>
        <w:t>2006</w:t>
      </w:r>
      <w:r>
        <w:rPr>
          <w:lang w:val="en-US"/>
        </w:rPr>
        <w:t>.</w:t>
      </w:r>
      <w:r w:rsidRPr="006B178E">
        <w:rPr>
          <w:lang w:val="en-US"/>
        </w:rPr>
        <w:t xml:space="preserve"> Distribution and activity of Bacteria and Archaea in the deep water masses of the North Atlantic. </w:t>
      </w:r>
      <w:r w:rsidRPr="006B178E">
        <w:rPr>
          <w:i/>
          <w:lang w:val="en-US"/>
        </w:rPr>
        <w:t>Limnology &amp; Oceanography</w:t>
      </w:r>
      <w:r>
        <w:rPr>
          <w:lang w:val="en-US"/>
        </w:rPr>
        <w:t>,</w:t>
      </w:r>
      <w:r w:rsidRPr="006B178E">
        <w:rPr>
          <w:lang w:val="en-US"/>
        </w:rPr>
        <w:t xml:space="preserve"> </w:t>
      </w:r>
      <w:r w:rsidRPr="006B178E">
        <w:rPr>
          <w:b/>
          <w:lang w:val="en-US"/>
        </w:rPr>
        <w:t>51</w:t>
      </w:r>
      <w:r>
        <w:rPr>
          <w:lang w:val="en-US"/>
        </w:rPr>
        <w:t xml:space="preserve">, </w:t>
      </w:r>
      <w:r w:rsidRPr="006B178E">
        <w:rPr>
          <w:lang w:val="en-US"/>
        </w:rPr>
        <w:t>2131–2144</w:t>
      </w:r>
    </w:p>
    <w:p w14:paraId="2CA2708E" w14:textId="77777777" w:rsidR="00CE0233" w:rsidRPr="00CE0233" w:rsidRDefault="00CE0233" w:rsidP="002734F8">
      <w:pPr>
        <w:pBdr>
          <w:bottom w:val="single" w:sz="4" w:space="1" w:color="auto"/>
        </w:pBdr>
        <w:rPr>
          <w:lang w:val="en-US"/>
        </w:rPr>
      </w:pPr>
    </w:p>
    <w:sectPr w:rsidR="00CE0233" w:rsidRPr="00CE023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265B" w14:textId="77777777" w:rsidR="00003FC9" w:rsidRDefault="00003FC9" w:rsidP="001400EB">
      <w:r>
        <w:separator/>
      </w:r>
    </w:p>
  </w:endnote>
  <w:endnote w:type="continuationSeparator" w:id="0">
    <w:p w14:paraId="387003BF" w14:textId="77777777" w:rsidR="00003FC9" w:rsidRDefault="00003FC9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ECD32" w14:textId="77777777" w:rsidR="00003FC9" w:rsidRDefault="00003FC9" w:rsidP="001400EB">
      <w:r>
        <w:separator/>
      </w:r>
    </w:p>
  </w:footnote>
  <w:footnote w:type="continuationSeparator" w:id="0">
    <w:p w14:paraId="1F031AE5" w14:textId="77777777" w:rsidR="00003FC9" w:rsidRDefault="00003FC9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A65AD" w14:paraId="10E39C36" w14:textId="77777777" w:rsidTr="00062451">
      <w:trPr>
        <w:trHeight w:val="867"/>
      </w:trPr>
      <w:tc>
        <w:tcPr>
          <w:tcW w:w="1287" w:type="dxa"/>
          <w:vAlign w:val="center"/>
        </w:tcPr>
        <w:p w14:paraId="0E53A5B8" w14:textId="77777777" w:rsidR="003A65AD" w:rsidRDefault="003A65AD" w:rsidP="00751E33">
          <w:r>
            <w:rPr>
              <w:noProof/>
              <w:lang w:val="en-GB" w:eastAsia="en-GB"/>
            </w:rPr>
            <w:drawing>
              <wp:inline distT="0" distB="0" distL="0" distR="0" wp14:anchorId="315771ED" wp14:editId="02BA6E9D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3A094688" w14:textId="77777777" w:rsidR="003A65AD" w:rsidRPr="001400EB" w:rsidRDefault="003A65AD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06EC7E11" w14:textId="77777777" w:rsidR="003A65AD" w:rsidRDefault="003A65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A232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C7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280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5EC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18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C3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54A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66A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A2C18"/>
    <w:multiLevelType w:val="hybridMultilevel"/>
    <w:tmpl w:val="8B12A9C8"/>
    <w:lvl w:ilvl="0" w:tplc="DD62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732D82"/>
    <w:multiLevelType w:val="multilevel"/>
    <w:tmpl w:val="075EF5E8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EC0"/>
    <w:multiLevelType w:val="hybridMultilevel"/>
    <w:tmpl w:val="075EF5E8"/>
    <w:lvl w:ilvl="0" w:tplc="CE9E26F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6C5ED0"/>
    <w:multiLevelType w:val="hybridMultilevel"/>
    <w:tmpl w:val="61485DEC"/>
    <w:numStyleLink w:val="Numbered"/>
  </w:abstractNum>
  <w:abstractNum w:abstractNumId="21" w15:restartNumberingAfterBreak="0">
    <w:nsid w:val="6FB412B1"/>
    <w:multiLevelType w:val="hybridMultilevel"/>
    <w:tmpl w:val="13AC2932"/>
    <w:lvl w:ilvl="0" w:tplc="AF70CB00">
      <w:start w:val="1"/>
      <w:numFmt w:val="bullet"/>
      <w:pStyle w:val="Listepersonnellepuces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15"/>
  </w:num>
  <w:num w:numId="7">
    <w:abstractNumId w:val="14"/>
  </w:num>
  <w:num w:numId="8">
    <w:abstractNumId w:val="20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2"/>
  </w:num>
  <w:num w:numId="22">
    <w:abstractNumId w:val="18"/>
  </w:num>
  <w:num w:numId="23">
    <w:abstractNumId w:val="17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03FC9"/>
    <w:rsid w:val="00035E50"/>
    <w:rsid w:val="00062451"/>
    <w:rsid w:val="00081264"/>
    <w:rsid w:val="00085099"/>
    <w:rsid w:val="0008641A"/>
    <w:rsid w:val="000C6932"/>
    <w:rsid w:val="00132D4D"/>
    <w:rsid w:val="001400EB"/>
    <w:rsid w:val="00196401"/>
    <w:rsid w:val="002065CE"/>
    <w:rsid w:val="00216E19"/>
    <w:rsid w:val="00236626"/>
    <w:rsid w:val="002425CB"/>
    <w:rsid w:val="00242833"/>
    <w:rsid w:val="002734F8"/>
    <w:rsid w:val="002844DF"/>
    <w:rsid w:val="002F506F"/>
    <w:rsid w:val="002F5641"/>
    <w:rsid w:val="00347739"/>
    <w:rsid w:val="0035228D"/>
    <w:rsid w:val="00360BF2"/>
    <w:rsid w:val="00386161"/>
    <w:rsid w:val="003A65AD"/>
    <w:rsid w:val="003B4FDF"/>
    <w:rsid w:val="003E2484"/>
    <w:rsid w:val="00420608"/>
    <w:rsid w:val="0044253E"/>
    <w:rsid w:val="0044423A"/>
    <w:rsid w:val="00480A31"/>
    <w:rsid w:val="004925AB"/>
    <w:rsid w:val="00496457"/>
    <w:rsid w:val="004D1212"/>
    <w:rsid w:val="004E5FB5"/>
    <w:rsid w:val="004F1081"/>
    <w:rsid w:val="004F1AEF"/>
    <w:rsid w:val="00513493"/>
    <w:rsid w:val="0053480E"/>
    <w:rsid w:val="00590B44"/>
    <w:rsid w:val="005A6C46"/>
    <w:rsid w:val="005C3343"/>
    <w:rsid w:val="0060689A"/>
    <w:rsid w:val="0064095B"/>
    <w:rsid w:val="00652664"/>
    <w:rsid w:val="006A7880"/>
    <w:rsid w:val="006D2B5E"/>
    <w:rsid w:val="007057A7"/>
    <w:rsid w:val="00736FDD"/>
    <w:rsid w:val="00751E33"/>
    <w:rsid w:val="00766325"/>
    <w:rsid w:val="00781ABF"/>
    <w:rsid w:val="007A4584"/>
    <w:rsid w:val="007C7AE3"/>
    <w:rsid w:val="007F34BC"/>
    <w:rsid w:val="008076B9"/>
    <w:rsid w:val="00844DAA"/>
    <w:rsid w:val="00875166"/>
    <w:rsid w:val="00894510"/>
    <w:rsid w:val="008953A5"/>
    <w:rsid w:val="008B719F"/>
    <w:rsid w:val="008F78F4"/>
    <w:rsid w:val="00900E02"/>
    <w:rsid w:val="00915616"/>
    <w:rsid w:val="00953FD9"/>
    <w:rsid w:val="00995736"/>
    <w:rsid w:val="009D03EF"/>
    <w:rsid w:val="009F59FB"/>
    <w:rsid w:val="00A01CC7"/>
    <w:rsid w:val="00A51FE7"/>
    <w:rsid w:val="00A62274"/>
    <w:rsid w:val="00A77D81"/>
    <w:rsid w:val="00A96236"/>
    <w:rsid w:val="00AC0F4E"/>
    <w:rsid w:val="00AC1DA0"/>
    <w:rsid w:val="00AE2BD6"/>
    <w:rsid w:val="00B954F2"/>
    <w:rsid w:val="00B95F85"/>
    <w:rsid w:val="00BC5730"/>
    <w:rsid w:val="00BD35F6"/>
    <w:rsid w:val="00BD4F8E"/>
    <w:rsid w:val="00BE1040"/>
    <w:rsid w:val="00C35F85"/>
    <w:rsid w:val="00C40929"/>
    <w:rsid w:val="00C54ED5"/>
    <w:rsid w:val="00C9106B"/>
    <w:rsid w:val="00CA6C51"/>
    <w:rsid w:val="00CC5EEF"/>
    <w:rsid w:val="00CC6AF2"/>
    <w:rsid w:val="00CD5C8C"/>
    <w:rsid w:val="00CE0233"/>
    <w:rsid w:val="00CE2744"/>
    <w:rsid w:val="00CF2832"/>
    <w:rsid w:val="00D002C4"/>
    <w:rsid w:val="00D0498F"/>
    <w:rsid w:val="00D10314"/>
    <w:rsid w:val="00D45156"/>
    <w:rsid w:val="00D45FB3"/>
    <w:rsid w:val="00D74D4F"/>
    <w:rsid w:val="00D95330"/>
    <w:rsid w:val="00DD525C"/>
    <w:rsid w:val="00DD78A1"/>
    <w:rsid w:val="00E41BBC"/>
    <w:rsid w:val="00E547A0"/>
    <w:rsid w:val="00E7382A"/>
    <w:rsid w:val="00E76AE1"/>
    <w:rsid w:val="00E76AFA"/>
    <w:rsid w:val="00E81A2E"/>
    <w:rsid w:val="00E8335F"/>
    <w:rsid w:val="00EB3C54"/>
    <w:rsid w:val="00EC4908"/>
    <w:rsid w:val="00EF2868"/>
    <w:rsid w:val="00F003B2"/>
    <w:rsid w:val="00F10368"/>
    <w:rsid w:val="00F3771F"/>
    <w:rsid w:val="00F41DB0"/>
    <w:rsid w:val="00F41FCC"/>
    <w:rsid w:val="00F56736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FF7F5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CE0233"/>
  </w:style>
  <w:style w:type="paragraph" w:customStyle="1" w:styleId="Listepersonnellepuces">
    <w:name w:val="Liste personnelle à puces"/>
    <w:basedOn w:val="Paragraphedeliste"/>
    <w:qFormat/>
    <w:rsid w:val="00A51FE7"/>
    <w:pPr>
      <w:numPr>
        <w:numId w:val="25"/>
      </w:numPr>
      <w:ind w:left="709" w:hanging="218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hard.herndl@univie.ac.at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riel.bittner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4</cp:revision>
  <dcterms:created xsi:type="dcterms:W3CDTF">2018-06-28T06:37:00Z</dcterms:created>
  <dcterms:modified xsi:type="dcterms:W3CDTF">2018-06-28T06:59:00Z</dcterms:modified>
</cp:coreProperties>
</file>