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3B8B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C35F85" w:rsidRPr="00D454F7">
        <w:rPr>
          <w:rFonts w:ascii="Arial" w:hAnsi="Arial" w:cs="Arial"/>
          <w:b/>
          <w:color w:val="0070C0"/>
          <w:lang w:val="en-US"/>
        </w:rPr>
        <w:t>Active</w:t>
      </w:r>
      <w:r w:rsidR="00C35F85" w:rsidRPr="00C35F85">
        <w:rPr>
          <w:rFonts w:ascii="Arial" w:hAnsi="Arial" w:cs="Arial"/>
          <w:b/>
          <w:color w:val="0070C0"/>
          <w:lang w:val="en-US"/>
        </w:rPr>
        <w:t xml:space="preserve"> prokaryotes diversity and activity rates</w:t>
      </w:r>
    </w:p>
    <w:p w14:paraId="25E721D5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C35F85" w14:paraId="0243560D" w14:textId="77777777" w:rsidTr="00081264">
        <w:tc>
          <w:tcPr>
            <w:tcW w:w="1555" w:type="dxa"/>
          </w:tcPr>
          <w:p w14:paraId="2F09B628" w14:textId="77777777" w:rsidR="00B95F85" w:rsidRPr="00081264" w:rsidRDefault="00B95F85" w:rsidP="00081264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</w:tc>
        <w:tc>
          <w:tcPr>
            <w:tcW w:w="7654" w:type="dxa"/>
            <w:vAlign w:val="center"/>
          </w:tcPr>
          <w:p w14:paraId="229DE4D7" w14:textId="0AAF1613" w:rsidR="00781ABF" w:rsidRPr="00D454F7" w:rsidRDefault="00D454F7" w:rsidP="000C6932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D454F7">
              <w:rPr>
                <w:rFonts w:ascii="Arial" w:hAnsi="Arial" w:cs="Arial"/>
                <w:b/>
                <w:color w:val="0070C0"/>
                <w:lang w:val="en-US"/>
              </w:rPr>
              <w:t>Abundance of active cells</w:t>
            </w:r>
          </w:p>
          <w:p w14:paraId="79EE8BA6" w14:textId="26391E94" w:rsidR="00D454F7" w:rsidRPr="00D454F7" w:rsidRDefault="00D454F7" w:rsidP="000C6932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D454F7">
              <w:rPr>
                <w:rFonts w:ascii="Arial" w:hAnsi="Arial" w:cs="Arial"/>
                <w:b/>
                <w:color w:val="0070C0"/>
                <w:lang w:val="en-US"/>
              </w:rPr>
              <w:t>Thymidine uptake</w:t>
            </w:r>
          </w:p>
          <w:p w14:paraId="1E60CA73" w14:textId="02FE07AC" w:rsidR="00875166" w:rsidRPr="00081264" w:rsidRDefault="00D454F7" w:rsidP="00D454F7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 w:rsidRPr="00D454F7">
              <w:rPr>
                <w:rFonts w:ascii="Arial" w:hAnsi="Arial" w:cs="Arial"/>
                <w:b/>
                <w:color w:val="0070C0"/>
                <w:lang w:val="en-US"/>
              </w:rPr>
              <w:t>Méthionine uptake</w:t>
            </w:r>
          </w:p>
        </w:tc>
      </w:tr>
    </w:tbl>
    <w:p w14:paraId="6C48F402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45C5CEEA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509FBDD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1B431BAE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7889A0A0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52E3FFBA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0FD6681A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2F6465A5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399C2742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369AF149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71273CFB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095B639F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120976BF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101D48C5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4E7D56B4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39740684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332AC89A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0B5E7CD6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42E7DCC2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540CCF19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0A71DD02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4D3850EB" w14:textId="77777777"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C35F85">
        <w:rPr>
          <w:rFonts w:ascii="Arial" w:eastAsia="Arial Unicode MS" w:hAnsi="Arial" w:cs="Arial"/>
          <w:b/>
          <w:color w:val="0070C0"/>
          <w:lang w:val="en-US"/>
        </w:rPr>
        <w:t>Eva Sintes</w:t>
      </w:r>
    </w:p>
    <w:p w14:paraId="0485343F" w14:textId="77777777" w:rsid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="00E7382A" w:rsidRPr="00E7382A">
        <w:rPr>
          <w:rFonts w:ascii="Arial" w:eastAsia="Arial Unicode MS" w:hAnsi="Arial" w:cs="Arial"/>
          <w:lang w:val="en-US"/>
        </w:rPr>
        <w:t>,</w:t>
      </w:r>
    </w:p>
    <w:p w14:paraId="05320572" w14:textId="77777777" w:rsidR="00CF2832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="00CF2832" w:rsidRPr="00CF2832">
        <w:rPr>
          <w:rFonts w:ascii="Arial" w:eastAsia="Arial Unicode MS" w:hAnsi="Arial" w:cs="Arial"/>
          <w:lang w:val="en-US"/>
        </w:rPr>
        <w:t>,</w:t>
      </w:r>
    </w:p>
    <w:p w14:paraId="6B078E80" w14:textId="77777777" w:rsidR="00C35F85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14:paraId="1BF2A529" w14:textId="77777777" w:rsidR="00CF2832" w:rsidRP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="00E7382A"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14:paraId="46B6D5A9" w14:textId="77777777" w:rsidR="00386161" w:rsidRDefault="00E7382A" w:rsidP="00DD78A1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="00C35F85" w:rsidRPr="00C35F85">
        <w:rPr>
          <w:rFonts w:ascii="Arial" w:eastAsia="Arial Unicode MS" w:hAnsi="Arial" w:cs="Arial"/>
          <w:lang w:val="en-US"/>
        </w:rPr>
        <w:t>43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1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4277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764 40</w:t>
      </w:r>
    </w:p>
    <w:p w14:paraId="6F2F7DF9" w14:textId="77777777" w:rsidR="00C35F85" w:rsidRDefault="00216124" w:rsidP="00DD78A1">
      <w:pPr>
        <w:ind w:left="2410"/>
        <w:rPr>
          <w:rFonts w:ascii="Arial" w:eastAsia="Arial Unicode MS" w:hAnsi="Arial" w:cs="Arial"/>
          <w:lang w:val="en-US"/>
        </w:rPr>
      </w:pPr>
      <w:hyperlink r:id="rId9" w:history="1">
        <w:r w:rsidR="00C35F85" w:rsidRPr="00525B21">
          <w:rPr>
            <w:rStyle w:val="Lienhypertexte"/>
            <w:rFonts w:ascii="Arial" w:eastAsia="Arial Unicode MS" w:hAnsi="Arial" w:cs="Arial"/>
            <w:lang w:val="en-US"/>
          </w:rPr>
          <w:t>eva.sintes@univie.ac.at</w:t>
        </w:r>
      </w:hyperlink>
    </w:p>
    <w:p w14:paraId="0C00A189" w14:textId="77777777" w:rsidR="00DD78A1" w:rsidRPr="00E7382A" w:rsidRDefault="00DD78A1" w:rsidP="00DD78A1">
      <w:pPr>
        <w:ind w:left="1843"/>
        <w:rPr>
          <w:rFonts w:ascii="Arial" w:hAnsi="Arial" w:cs="Arial"/>
          <w:lang w:val="en-US"/>
        </w:rPr>
      </w:pPr>
    </w:p>
    <w:p w14:paraId="0F41C3CA" w14:textId="77777777" w:rsidR="00C35F85" w:rsidRPr="00DD78A1" w:rsidRDefault="00DD78A1" w:rsidP="00C35F85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C35F85">
        <w:rPr>
          <w:rFonts w:ascii="Arial" w:eastAsia="Arial Unicode MS" w:hAnsi="Arial" w:cs="Arial"/>
          <w:b/>
          <w:color w:val="0070C0"/>
          <w:lang w:val="en-US"/>
        </w:rPr>
        <w:t>Eva Sintes</w:t>
      </w:r>
    </w:p>
    <w:p w14:paraId="6900C6A4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Pr="00E7382A">
        <w:rPr>
          <w:rFonts w:ascii="Arial" w:eastAsia="Arial Unicode MS" w:hAnsi="Arial" w:cs="Arial"/>
          <w:lang w:val="en-US"/>
        </w:rPr>
        <w:t>,</w:t>
      </w:r>
    </w:p>
    <w:p w14:paraId="5DD16C80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Pr="00CF2832">
        <w:rPr>
          <w:rFonts w:ascii="Arial" w:eastAsia="Arial Unicode MS" w:hAnsi="Arial" w:cs="Arial"/>
          <w:lang w:val="en-US"/>
        </w:rPr>
        <w:t>,</w:t>
      </w:r>
    </w:p>
    <w:p w14:paraId="463C4C0E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14:paraId="123EA1F6" w14:textId="77777777" w:rsidR="00C35F85" w:rsidRPr="00E7382A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14:paraId="07D80AED" w14:textId="77777777" w:rsidR="00C35F85" w:rsidRDefault="00C35F85" w:rsidP="00C35F85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Pr="00C35F85">
        <w:rPr>
          <w:rFonts w:ascii="Arial" w:eastAsia="Arial Unicode MS" w:hAnsi="Arial" w:cs="Arial"/>
          <w:lang w:val="en-US"/>
        </w:rPr>
        <w:t>43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1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4277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764 40</w:t>
      </w:r>
    </w:p>
    <w:p w14:paraId="0627CE30" w14:textId="77777777" w:rsidR="00C35F85" w:rsidRDefault="00216124" w:rsidP="00C35F85">
      <w:pPr>
        <w:ind w:left="2410"/>
        <w:rPr>
          <w:rFonts w:ascii="Arial" w:eastAsia="Arial Unicode MS" w:hAnsi="Arial" w:cs="Arial"/>
          <w:lang w:val="en-US"/>
        </w:rPr>
      </w:pPr>
      <w:hyperlink r:id="rId10" w:history="1">
        <w:r w:rsidR="00C35F85" w:rsidRPr="00525B21">
          <w:rPr>
            <w:rStyle w:val="Lienhypertexte"/>
            <w:rFonts w:ascii="Arial" w:eastAsia="Arial Unicode MS" w:hAnsi="Arial" w:cs="Arial"/>
            <w:lang w:val="en-US"/>
          </w:rPr>
          <w:t>eva.sintes@univie.ac.at</w:t>
        </w:r>
      </w:hyperlink>
    </w:p>
    <w:p w14:paraId="401DC1BB" w14:textId="77777777" w:rsidR="00DD78A1" w:rsidRPr="00BD4F8E" w:rsidRDefault="00DD78A1" w:rsidP="00BD4F8E">
      <w:pPr>
        <w:ind w:left="2410" w:hanging="2410"/>
        <w:rPr>
          <w:rFonts w:ascii="Arial" w:eastAsia="Arial Unicode MS" w:hAnsi="Arial" w:cs="Arial"/>
          <w:lang w:val="it-IT"/>
        </w:rPr>
      </w:pPr>
    </w:p>
    <w:p w14:paraId="509E08E9" w14:textId="77777777" w:rsidR="002F5641" w:rsidRPr="00216E19" w:rsidRDefault="002F5641" w:rsidP="00DD78A1">
      <w:pPr>
        <w:ind w:left="2410" w:hanging="993"/>
        <w:rPr>
          <w:rFonts w:ascii="Arial" w:hAnsi="Arial" w:cs="Arial"/>
          <w:lang w:val="en-US"/>
        </w:rPr>
        <w:sectPr w:rsidR="002F5641" w:rsidRPr="00216E19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59C8B4A6" w14:textId="77777777" w:rsidR="00DD78A1" w:rsidRPr="00216E19" w:rsidRDefault="00DD78A1" w:rsidP="00DD78A1">
      <w:pPr>
        <w:ind w:left="2410" w:hanging="993"/>
        <w:rPr>
          <w:rFonts w:ascii="Arial" w:hAnsi="Arial" w:cs="Arial"/>
          <w:lang w:val="en-US"/>
        </w:rPr>
      </w:pPr>
    </w:p>
    <w:p w14:paraId="03C734A0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0C3A9C52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3F8BA020" w14:textId="77777777" w:rsidR="00EC4908" w:rsidRPr="00BE1040" w:rsidRDefault="008B719F" w:rsidP="00EC4908">
      <w:pPr>
        <w:pStyle w:val="Paragraphestandard"/>
        <w:rPr>
          <w:rFonts w:cs="Arial"/>
        </w:rPr>
      </w:pPr>
      <w:r>
        <w:rPr>
          <w:rFonts w:cs="Arial"/>
          <w:snapToGrid w:val="0"/>
          <w:color w:val="000000"/>
        </w:rPr>
        <w:t>Water 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>
        <w:rPr>
          <w:rFonts w:cs="Arial"/>
          <w:snapToGrid w:val="0"/>
          <w:color w:val="000000"/>
        </w:rPr>
        <w:t>the rosette bottles.</w:t>
      </w:r>
    </w:p>
    <w:p w14:paraId="6A8AB727" w14:textId="77777777" w:rsidR="004D1212" w:rsidRDefault="004D1212" w:rsidP="000F34B7">
      <w:pPr>
        <w:pStyle w:val="Titre2"/>
      </w:pPr>
      <w:r w:rsidRPr="002F5641">
        <w:t>List of stations sampled</w:t>
      </w:r>
    </w:p>
    <w:p w14:paraId="66A1309A" w14:textId="77777777" w:rsidR="004D1212" w:rsidRDefault="004D1212" w:rsidP="004D1212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Details of sampled stations</w:t>
      </w:r>
      <w:r w:rsidR="00766325">
        <w:rPr>
          <w:b/>
          <w:lang w:val="en-US"/>
        </w:rPr>
        <w:t>,</w:t>
      </w:r>
      <w:r w:rsidR="00766325" w:rsidRPr="00766325">
        <w:rPr>
          <w:lang w:val="en-US"/>
        </w:rPr>
        <w:t xml:space="preserve"> </w:t>
      </w:r>
      <w:r w:rsidR="00766325" w:rsidRPr="00766325">
        <w:rPr>
          <w:b/>
          <w:lang w:val="en-US"/>
        </w:rPr>
        <w:t>cast</w:t>
      </w:r>
      <w:r w:rsidR="00766325">
        <w:rPr>
          <w:b/>
          <w:lang w:val="en-US"/>
        </w:rPr>
        <w:t>s,</w:t>
      </w:r>
      <w:r w:rsidR="00766325" w:rsidRPr="00766325">
        <w:rPr>
          <w:b/>
          <w:lang w:val="en-US"/>
        </w:rPr>
        <w:t xml:space="preserve"> and number of samples collected for the different parameters</w:t>
      </w:r>
      <w:r w:rsidR="004F1081">
        <w:rPr>
          <w:b/>
          <w:lang w:val="en-US"/>
        </w:rPr>
        <w:t xml:space="preserve"> (see text </w:t>
      </w:r>
      <w:r w:rsidR="004F1081">
        <w:rPr>
          <w:rFonts w:ascii="Calibri" w:hAnsi="Calibri"/>
          <w:b/>
          <w:lang w:val="en-US"/>
        </w:rPr>
        <w:t>§</w:t>
      </w:r>
      <w:r w:rsidR="004F1081">
        <w:rPr>
          <w:b/>
          <w:lang w:val="en-US"/>
        </w:rPr>
        <w:t xml:space="preserve"> 3 below for acronyms)</w:t>
      </w:r>
    </w:p>
    <w:tbl>
      <w:tblPr>
        <w:tblW w:w="9654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808"/>
        <w:gridCol w:w="1569"/>
        <w:gridCol w:w="1559"/>
        <w:gridCol w:w="1276"/>
        <w:gridCol w:w="850"/>
        <w:gridCol w:w="992"/>
      </w:tblGrid>
      <w:tr w:rsidR="00C35F85" w:rsidRPr="00C35F85" w14:paraId="5956D579" w14:textId="77777777" w:rsidTr="00C35F85">
        <w:trPr>
          <w:trHeight w:val="802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50D27131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Station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344D3832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Cast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1171B660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BrdU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526E3D0B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Bulk Thy/Met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6A28A35D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Micro-CARD-FISH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341014DB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Click-FISH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67FCE8E0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Resp. cells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6C7ED8FA" w14:textId="77777777" w:rsidR="00C35F85" w:rsidRPr="00C35F85" w:rsidRDefault="00C35F85" w:rsidP="00C35F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35F8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SAGS</w:t>
            </w:r>
          </w:p>
        </w:tc>
      </w:tr>
      <w:tr w:rsidR="00C35F85" w:rsidRPr="00014FA8" w14:paraId="2E5A8866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73485719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M2_1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3942599C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1749581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30985BE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600B08F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22647162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025E7B2C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7DA7EDC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6</w:t>
            </w:r>
          </w:p>
        </w:tc>
      </w:tr>
      <w:tr w:rsidR="00C35F85" w:rsidRPr="00014FA8" w14:paraId="3FD8D921" w14:textId="77777777" w:rsidTr="00766325">
        <w:trPr>
          <w:trHeight w:val="454"/>
        </w:trPr>
        <w:tc>
          <w:tcPr>
            <w:tcW w:w="1300" w:type="dxa"/>
            <w:shd w:val="clear" w:color="auto" w:fill="E9EDF1"/>
            <w:noWrap/>
            <w:vAlign w:val="center"/>
            <w:hideMark/>
          </w:tcPr>
          <w:p w14:paraId="622F8100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M4_1</w:t>
            </w:r>
          </w:p>
        </w:tc>
        <w:tc>
          <w:tcPr>
            <w:tcW w:w="1300" w:type="dxa"/>
            <w:shd w:val="clear" w:color="auto" w:fill="E9EDF1"/>
            <w:noWrap/>
            <w:vAlign w:val="center"/>
            <w:hideMark/>
          </w:tcPr>
          <w:p w14:paraId="5374D5EF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17</w:t>
            </w:r>
          </w:p>
        </w:tc>
        <w:tc>
          <w:tcPr>
            <w:tcW w:w="808" w:type="dxa"/>
            <w:shd w:val="clear" w:color="auto" w:fill="E9EDF1"/>
            <w:noWrap/>
            <w:vAlign w:val="center"/>
            <w:hideMark/>
          </w:tcPr>
          <w:p w14:paraId="4440121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1569" w:type="dxa"/>
            <w:shd w:val="clear" w:color="auto" w:fill="E9EDF1"/>
            <w:noWrap/>
            <w:vAlign w:val="center"/>
            <w:hideMark/>
          </w:tcPr>
          <w:p w14:paraId="69037F4E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E9EDF1"/>
            <w:noWrap/>
            <w:vAlign w:val="center"/>
            <w:hideMark/>
          </w:tcPr>
          <w:p w14:paraId="4637C9F3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E9EDF1"/>
            <w:noWrap/>
            <w:vAlign w:val="center"/>
            <w:hideMark/>
          </w:tcPr>
          <w:p w14:paraId="654B375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E9EDF1"/>
            <w:noWrap/>
            <w:vAlign w:val="center"/>
            <w:hideMark/>
          </w:tcPr>
          <w:p w14:paraId="1197943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E9EDF1"/>
            <w:noWrap/>
            <w:vAlign w:val="center"/>
            <w:hideMark/>
          </w:tcPr>
          <w:p w14:paraId="7F1E1356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</w:tr>
      <w:tr w:rsidR="00C35F85" w:rsidRPr="00014FA8" w14:paraId="0061D1C8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7D0EAFCF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M4_1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377B9CD3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18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1C3C119D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477C680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0AAFFD5C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1C976EF7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7888CA93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32D0693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</w:tr>
      <w:tr w:rsidR="00C35F85" w:rsidRPr="00014FA8" w14:paraId="5CABB5FC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3B994DC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M3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190A666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26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654C5D30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3D9FD4E0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37B6786E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6E36F2BE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D0B5A9C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79FE89D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</w:tr>
      <w:tr w:rsidR="00C35F85" w:rsidRPr="00014FA8" w14:paraId="2A61E174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4271746A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M2_2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158BE79E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29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33415B76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7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6D5E8725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5E738901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115BE13B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0CDC3D33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782479CF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7</w:t>
            </w:r>
          </w:p>
        </w:tc>
      </w:tr>
      <w:tr w:rsidR="00C35F85" w:rsidRPr="00014FA8" w14:paraId="17209241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0812DE4F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M1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56E734E5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35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7EE517DE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35D1A852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7331141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0D29BEB0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158511C6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2D07965F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</w:tr>
      <w:tr w:rsidR="00C35F85" w:rsidRPr="00014FA8" w14:paraId="00B64134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579795FD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M4_2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6D61E49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44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5F8BABAE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0C4613D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777412F1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3B07A0B6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2EAD3505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E9EDF1"/>
            <w:noWrap/>
            <w:vAlign w:val="center"/>
            <w:hideMark/>
          </w:tcPr>
          <w:p w14:paraId="45D7BE8F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</w:tr>
      <w:tr w:rsidR="00C35F85" w:rsidRPr="00014FA8" w14:paraId="6BD54840" w14:textId="77777777" w:rsidTr="00766325">
        <w:trPr>
          <w:trHeight w:val="454"/>
        </w:trPr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6AF025C7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M2_3</w:t>
            </w:r>
          </w:p>
        </w:tc>
        <w:tc>
          <w:tcPr>
            <w:tcW w:w="130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19E644D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52</w:t>
            </w:r>
          </w:p>
        </w:tc>
        <w:tc>
          <w:tcPr>
            <w:tcW w:w="808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31EBFA1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  <w:tc>
          <w:tcPr>
            <w:tcW w:w="156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44E64C93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521485C8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785D3673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2AFED017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CFD7E6"/>
            <w:noWrap/>
            <w:vAlign w:val="center"/>
            <w:hideMark/>
          </w:tcPr>
          <w:p w14:paraId="0C81D501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9</w:t>
            </w:r>
          </w:p>
        </w:tc>
      </w:tr>
      <w:tr w:rsidR="00C35F85" w:rsidRPr="00014FA8" w14:paraId="4212B7CC" w14:textId="77777777" w:rsidTr="00766325">
        <w:trPr>
          <w:trHeight w:val="454"/>
        </w:trPr>
        <w:tc>
          <w:tcPr>
            <w:tcW w:w="1300" w:type="dxa"/>
            <w:shd w:val="clear" w:color="auto" w:fill="E9EDF1"/>
            <w:noWrap/>
            <w:vAlign w:val="center"/>
            <w:hideMark/>
          </w:tcPr>
          <w:p w14:paraId="7041A4A0" w14:textId="77777777" w:rsidR="00C35F85" w:rsidRPr="00014FA8" w:rsidRDefault="00C35F85" w:rsidP="00766325">
            <w:pPr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 w:rsidRPr="00014FA8">
              <w:rPr>
                <w:rFonts w:ascii="Calibri" w:hAnsi="Calibri"/>
                <w:bCs/>
                <w:color w:val="000000"/>
                <w:lang w:val="en-US"/>
              </w:rPr>
              <w:t>M3_3</w:t>
            </w:r>
          </w:p>
        </w:tc>
        <w:tc>
          <w:tcPr>
            <w:tcW w:w="1300" w:type="dxa"/>
            <w:shd w:val="clear" w:color="auto" w:fill="E9EDF1"/>
            <w:noWrap/>
            <w:vAlign w:val="center"/>
            <w:hideMark/>
          </w:tcPr>
          <w:p w14:paraId="21558530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57</w:t>
            </w:r>
          </w:p>
        </w:tc>
        <w:tc>
          <w:tcPr>
            <w:tcW w:w="808" w:type="dxa"/>
            <w:shd w:val="clear" w:color="auto" w:fill="E9EDF1"/>
            <w:noWrap/>
            <w:vAlign w:val="center"/>
            <w:hideMark/>
          </w:tcPr>
          <w:p w14:paraId="68E34E0A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1569" w:type="dxa"/>
            <w:shd w:val="clear" w:color="auto" w:fill="E9EDF1"/>
            <w:noWrap/>
            <w:vAlign w:val="center"/>
            <w:hideMark/>
          </w:tcPr>
          <w:p w14:paraId="7335BA0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E9EDF1"/>
            <w:noWrap/>
            <w:vAlign w:val="center"/>
            <w:hideMark/>
          </w:tcPr>
          <w:p w14:paraId="6F2ED464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E9EDF1"/>
            <w:noWrap/>
            <w:vAlign w:val="center"/>
            <w:hideMark/>
          </w:tcPr>
          <w:p w14:paraId="7296FA8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E9EDF1"/>
            <w:noWrap/>
            <w:vAlign w:val="center"/>
            <w:hideMark/>
          </w:tcPr>
          <w:p w14:paraId="25163D80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E9EDF1"/>
            <w:noWrap/>
            <w:vAlign w:val="center"/>
            <w:hideMark/>
          </w:tcPr>
          <w:p w14:paraId="61422859" w14:textId="77777777" w:rsidR="00C35F85" w:rsidRPr="00014FA8" w:rsidRDefault="00C35F85" w:rsidP="00766325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014FA8">
              <w:rPr>
                <w:rFonts w:ascii="Calibri" w:hAnsi="Calibri"/>
                <w:color w:val="000000"/>
                <w:lang w:val="en-US"/>
              </w:rPr>
              <w:t>8</w:t>
            </w:r>
          </w:p>
        </w:tc>
      </w:tr>
    </w:tbl>
    <w:p w14:paraId="6321E24D" w14:textId="77777777" w:rsidR="003A65AD" w:rsidRPr="003A65AD" w:rsidRDefault="003A65AD" w:rsidP="003A65AD">
      <w:pPr>
        <w:rPr>
          <w:lang w:val="en-US"/>
        </w:rPr>
      </w:pPr>
    </w:p>
    <w:p w14:paraId="25F391F8" w14:textId="77777777" w:rsidR="00CE2744" w:rsidRDefault="0035228D" w:rsidP="00D0498F">
      <w:pPr>
        <w:pStyle w:val="Titre1"/>
      </w:pPr>
      <w:r>
        <w:t>INSTRUMENTS</w:t>
      </w:r>
    </w:p>
    <w:p w14:paraId="0C33A373" w14:textId="77777777" w:rsidR="004F1081" w:rsidRPr="0035228D" w:rsidRDefault="004F1081" w:rsidP="004F1081">
      <w:pPr>
        <w:pStyle w:val="Paragraphestandard"/>
        <w:ind w:left="2410" w:hanging="1985"/>
      </w:pPr>
      <w:r w:rsidRPr="0035228D">
        <w:t>Instrument Type:</w:t>
      </w:r>
      <w:r>
        <w:tab/>
      </w:r>
      <w:r>
        <w:rPr>
          <w:b/>
        </w:rPr>
        <w:t>Liquid scintillation counter TRICARB 2100</w:t>
      </w:r>
    </w:p>
    <w:p w14:paraId="341229C7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>
        <w:rPr>
          <w:b/>
        </w:rPr>
        <w:t>Perkin Elmer</w:t>
      </w:r>
    </w:p>
    <w:p w14:paraId="37D97735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Pr="00496457">
        <w:rPr>
          <w:b/>
        </w:rPr>
        <w:t>Tri-Carb® 2100TR</w:t>
      </w:r>
    </w:p>
    <w:p w14:paraId="2CBF03C6" w14:textId="77777777" w:rsidR="004F1081" w:rsidRDefault="004F1081" w:rsidP="004F1081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14:paraId="37007C67" w14:textId="77777777" w:rsidR="004F1081" w:rsidRPr="0035228D" w:rsidRDefault="004F1081" w:rsidP="004F1081">
      <w:pPr>
        <w:pStyle w:val="Paragraphestandard"/>
        <w:ind w:left="2410" w:hanging="1985"/>
      </w:pPr>
      <w:r w:rsidRPr="0035228D">
        <w:t>Instrument Type:</w:t>
      </w:r>
      <w:r>
        <w:tab/>
      </w:r>
      <w:r>
        <w:rPr>
          <w:b/>
        </w:rPr>
        <w:t>Flow cytometer</w:t>
      </w:r>
    </w:p>
    <w:p w14:paraId="28B13B1C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>
        <w:rPr>
          <w:rFonts w:eastAsia="Cambria" w:cs="Arial"/>
          <w:iCs/>
          <w:lang w:val="en-GB"/>
        </w:rPr>
        <w:t>Becton Dickinson</w:t>
      </w:r>
    </w:p>
    <w:p w14:paraId="323563C9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Pr="004F1081">
        <w:rPr>
          <w:b/>
        </w:rPr>
        <w:t>FACSAria II</w:t>
      </w:r>
    </w:p>
    <w:p w14:paraId="4541DBDA" w14:textId="77777777" w:rsidR="004F1081" w:rsidRDefault="004F1081" w:rsidP="004F1081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14:paraId="0A9C1F21" w14:textId="77777777" w:rsidR="00AE2BD6" w:rsidRPr="0035228D" w:rsidRDefault="00AE2BD6" w:rsidP="00D0498F">
      <w:pPr>
        <w:pStyle w:val="Titre1"/>
      </w:pPr>
      <w:r>
        <w:t>DESCRIPTION of PARAMETERS</w:t>
      </w:r>
    </w:p>
    <w:p w14:paraId="2262DBCE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459724C2" w14:textId="77777777" w:rsidR="004F1081" w:rsidRPr="004F1081" w:rsidRDefault="004F1081" w:rsidP="004F1081">
      <w:pPr>
        <w:pStyle w:val="Paragraphestandard"/>
        <w:rPr>
          <w:lang w:eastAsia="es-ES_tradnl"/>
        </w:rPr>
      </w:pPr>
      <w:r w:rsidRPr="004F1081">
        <w:rPr>
          <w:lang w:eastAsia="es-ES_tradnl"/>
        </w:rPr>
        <w:t xml:space="preserve">Active bacterial and archaeal community composition and metabolic potential will be analyzed based on the incorporation of Bromodeoxyuridine (BrdU, an analog of thymidine) into the DNA of dividing cells (Hamasaki </w:t>
      </w:r>
      <w:r w:rsidRPr="004F1081">
        <w:rPr>
          <w:i/>
          <w:lang w:eastAsia="es-ES_tradnl"/>
        </w:rPr>
        <w:t>et al.</w:t>
      </w:r>
      <w:r w:rsidRPr="004F1081">
        <w:rPr>
          <w:lang w:eastAsia="es-ES_tradnl"/>
        </w:rPr>
        <w:t xml:space="preserve">, 2007), bacterial reductase activity, uptake of </w:t>
      </w:r>
      <w:r w:rsidRPr="004F1081">
        <w:rPr>
          <w:vertAlign w:val="superscript"/>
          <w:lang w:eastAsia="es-ES_tradnl"/>
        </w:rPr>
        <w:t>3</w:t>
      </w:r>
      <w:r w:rsidRPr="004F1081">
        <w:rPr>
          <w:lang w:eastAsia="es-ES_tradnl"/>
        </w:rPr>
        <w:t xml:space="preserve">H-labeled thymidine and methionine and of fluorescent analogs of thymidine and methionine after click-chemistry reaction (Samo </w:t>
      </w:r>
      <w:r w:rsidRPr="004F1081">
        <w:rPr>
          <w:i/>
          <w:lang w:eastAsia="es-ES_tradnl"/>
        </w:rPr>
        <w:t>et al.</w:t>
      </w:r>
      <w:r w:rsidRPr="004F1081">
        <w:rPr>
          <w:lang w:eastAsia="es-ES_tradnl"/>
        </w:rPr>
        <w:t xml:space="preserve">, 2014). </w:t>
      </w:r>
      <w:r w:rsidRPr="004F1081">
        <w:rPr>
          <w:lang w:eastAsia="es-ES_tradnl"/>
        </w:rPr>
        <w:lastRenderedPageBreak/>
        <w:t xml:space="preserve">Additionally, </w:t>
      </w:r>
      <w:r>
        <w:rPr>
          <w:lang w:eastAsia="es-ES_tradnl"/>
        </w:rPr>
        <w:t>s</w:t>
      </w:r>
      <w:r w:rsidRPr="00141540">
        <w:rPr>
          <w:lang w:eastAsia="es-ES_tradnl"/>
        </w:rPr>
        <w:t>ingl</w:t>
      </w:r>
      <w:r>
        <w:rPr>
          <w:lang w:eastAsia="es-ES_tradnl"/>
        </w:rPr>
        <w:t xml:space="preserve">e cell amplified genomes (SAGs) will be sequenced at Bigelow </w:t>
      </w:r>
      <w:r w:rsidRPr="00D87E36">
        <w:rPr>
          <w:lang w:eastAsia="es-ES_tradnl"/>
        </w:rPr>
        <w:t>Laboratory Single Cell Genomics Center</w:t>
      </w:r>
      <w:r>
        <w:rPr>
          <w:lang w:eastAsia="es-ES_tradnl"/>
        </w:rPr>
        <w:t xml:space="preserve"> (Stepanauskas &amp; Sieracki, 2007).</w:t>
      </w:r>
    </w:p>
    <w:p w14:paraId="526A05C9" w14:textId="77777777" w:rsidR="00AE2BD6" w:rsidRDefault="00AE2BD6" w:rsidP="00D0498F">
      <w:pPr>
        <w:pStyle w:val="Titre2"/>
      </w:pPr>
      <w:r>
        <w:t>Analytical procedure</w:t>
      </w:r>
    </w:p>
    <w:p w14:paraId="486CCBA8" w14:textId="77777777" w:rsidR="004F1081" w:rsidRPr="00141540" w:rsidRDefault="004F1081" w:rsidP="00CE0233">
      <w:pPr>
        <w:pStyle w:val="Paragraphestandard"/>
        <w:rPr>
          <w:rFonts w:eastAsia="Cambria" w:cs="Arial"/>
          <w:iCs/>
          <w:lang w:val="en-GB"/>
        </w:rPr>
      </w:pPr>
      <w:r>
        <w:t>N</w:t>
      </w:r>
      <w:r w:rsidRPr="00141540">
        <w:t xml:space="preserve">ext generation sequencing will be performed on the 16S rRNA gene </w:t>
      </w:r>
      <w:r>
        <w:t xml:space="preserve">and at the metagenome level on BrdU-labeled (Hamasaki </w:t>
      </w:r>
      <w:r w:rsidRPr="00A910D1">
        <w:rPr>
          <w:i/>
        </w:rPr>
        <w:t>et al.</w:t>
      </w:r>
      <w:r>
        <w:t>, 2007).</w:t>
      </w:r>
      <w:r w:rsidR="00CE0233">
        <w:t xml:space="preserve"> </w:t>
      </w:r>
      <w:r w:rsidRPr="00141540">
        <w:t xml:space="preserve">MICRO-CARD-FISH samples </w:t>
      </w:r>
      <w:r w:rsidR="00CE0233">
        <w:t xml:space="preserve">will be processed </w:t>
      </w:r>
      <w:r w:rsidRPr="00141540">
        <w:t xml:space="preserve">in the lab will (Sintes &amp; Herndl, 2006). </w:t>
      </w:r>
      <w:r w:rsidRPr="00141540">
        <w:rPr>
          <w:rFonts w:eastAsia="Cambria" w:cs="Arial"/>
          <w:iCs/>
          <w:lang w:val="en-GB"/>
        </w:rPr>
        <w:t>Microscopic evaluation following click-chemistry of methionine and thymidine analogs will be conducted at the home laboratory</w:t>
      </w:r>
      <w:r>
        <w:rPr>
          <w:rFonts w:eastAsia="Cambria" w:cs="Arial"/>
          <w:iCs/>
          <w:lang w:val="en-GB"/>
        </w:rPr>
        <w:t xml:space="preserve"> (Samo </w:t>
      </w:r>
      <w:r w:rsidRPr="004F1081">
        <w:rPr>
          <w:rFonts w:eastAsia="Cambria" w:cs="Arial"/>
          <w:i/>
          <w:iCs/>
        </w:rPr>
        <w:t>et al</w:t>
      </w:r>
      <w:r w:rsidRPr="004F1081">
        <w:rPr>
          <w:rFonts w:eastAsia="Cambria" w:cs="Arial"/>
          <w:i/>
          <w:iCs/>
          <w:lang w:val="en-GB"/>
        </w:rPr>
        <w:t>.</w:t>
      </w:r>
      <w:r>
        <w:rPr>
          <w:rFonts w:eastAsia="Cambria" w:cs="Arial"/>
          <w:iCs/>
          <w:lang w:val="en-GB"/>
        </w:rPr>
        <w:t>, 2014)</w:t>
      </w:r>
      <w:r w:rsidRPr="00141540">
        <w:rPr>
          <w:rFonts w:eastAsia="Cambria" w:cs="Arial"/>
          <w:iCs/>
          <w:lang w:val="en-GB"/>
        </w:rPr>
        <w:t>.</w:t>
      </w:r>
      <w:r w:rsidR="00CE0233">
        <w:rPr>
          <w:rFonts w:eastAsia="Cambria" w:cs="Arial"/>
          <w:iCs/>
          <w:lang w:val="en-GB"/>
        </w:rPr>
        <w:t xml:space="preserve"> </w:t>
      </w:r>
      <w:r w:rsidRPr="00141540">
        <w:rPr>
          <w:rFonts w:eastAsia="Cambria" w:cs="Arial"/>
          <w:iCs/>
          <w:lang w:val="en-GB"/>
        </w:rPr>
        <w:t>Respiring prokaryotes will be analyzed by flow cytometry at the home lab</w:t>
      </w:r>
      <w:r>
        <w:rPr>
          <w:rFonts w:eastAsia="Cambria" w:cs="Arial"/>
          <w:iCs/>
          <w:lang w:val="en-GB"/>
        </w:rPr>
        <w:t>.</w:t>
      </w:r>
    </w:p>
    <w:p w14:paraId="10CDCB7E" w14:textId="77777777" w:rsidR="00CE0233" w:rsidRDefault="00CE0233" w:rsidP="00CE0233">
      <w:pPr>
        <w:pStyle w:val="Titre2"/>
      </w:pPr>
      <w:r>
        <w:t>Units</w:t>
      </w:r>
    </w:p>
    <w:p w14:paraId="2CD9CB9D" w14:textId="5BC61ECF" w:rsidR="00D454F7" w:rsidRPr="00D454F7" w:rsidRDefault="00D454F7" w:rsidP="00D454F7">
      <w:pPr>
        <w:pStyle w:val="Paragraphedeliste"/>
        <w:numPr>
          <w:ilvl w:val="0"/>
          <w:numId w:val="3"/>
        </w:numPr>
        <w:tabs>
          <w:tab w:val="left" w:pos="4678"/>
        </w:tabs>
        <w:spacing w:before="60"/>
        <w:rPr>
          <w:rFonts w:ascii="Arial" w:eastAsia="Arial" w:hAnsi="Arial" w:cs="Arial"/>
          <w:lang w:val="en-US"/>
        </w:rPr>
      </w:pPr>
      <w:r w:rsidRPr="00D454F7">
        <w:rPr>
          <w:rFonts w:ascii="Arial" w:hAnsi="Arial" w:cs="Arial"/>
          <w:lang w:val="en-US"/>
        </w:rPr>
        <w:t>Abundance of active cells</w:t>
      </w:r>
      <w:r w:rsidRPr="00D454F7">
        <w:rPr>
          <w:rFonts w:ascii="Arial" w:hAnsi="Arial" w:cs="Arial"/>
          <w:lang w:val="en-US"/>
        </w:rPr>
        <w:tab/>
      </w:r>
      <w:r w:rsidRPr="00D454F7">
        <w:rPr>
          <w:rFonts w:ascii="Arial" w:hAnsi="Arial" w:cs="Arial"/>
          <w:snapToGrid w:val="0"/>
          <w:lang w:val="en-US"/>
        </w:rPr>
        <w:t>cells mL</w:t>
      </w:r>
      <w:r w:rsidRPr="00D454F7">
        <w:rPr>
          <w:rFonts w:ascii="Arial" w:hAnsi="Arial" w:cs="Arial"/>
          <w:snapToGrid w:val="0"/>
          <w:vertAlign w:val="superscript"/>
          <w:lang w:val="en-US"/>
        </w:rPr>
        <w:t>-1</w:t>
      </w:r>
    </w:p>
    <w:p w14:paraId="25E8A9DC" w14:textId="5EDC0D4F" w:rsidR="00D454F7" w:rsidRPr="00D454F7" w:rsidRDefault="00D454F7" w:rsidP="00364089">
      <w:pPr>
        <w:pStyle w:val="Paragraphedeliste"/>
        <w:numPr>
          <w:ilvl w:val="0"/>
          <w:numId w:val="3"/>
        </w:numPr>
        <w:tabs>
          <w:tab w:val="left" w:pos="4678"/>
        </w:tabs>
        <w:spacing w:before="60"/>
        <w:rPr>
          <w:rFonts w:ascii="Arial" w:eastAsia="Arial" w:hAnsi="Arial" w:cs="Arial"/>
          <w:i/>
          <w:iCs/>
          <w:lang w:val="en-US" w:eastAsia="es-ES_tradnl"/>
        </w:rPr>
      </w:pPr>
      <w:r w:rsidRPr="00D454F7">
        <w:rPr>
          <w:rFonts w:ascii="Arial" w:hAnsi="Arial" w:cs="Arial"/>
          <w:lang w:val="en-US"/>
        </w:rPr>
        <w:t>Thymidine uptake</w:t>
      </w:r>
      <w:r w:rsidRPr="00D454F7">
        <w:rPr>
          <w:rFonts w:ascii="Arial" w:hAnsi="Arial" w:cs="Arial"/>
          <w:lang w:val="en-US"/>
        </w:rPr>
        <w:tab/>
      </w:r>
      <w:r w:rsidRPr="00D454F7">
        <w:rPr>
          <w:rFonts w:ascii="Arial" w:hAnsi="Arial" w:cs="Arial"/>
          <w:snapToGrid w:val="0"/>
          <w:lang w:val="en-US"/>
        </w:rPr>
        <w:t>nmol Thymidine L</w:t>
      </w:r>
      <w:r w:rsidRPr="00D454F7">
        <w:rPr>
          <w:rFonts w:ascii="Arial" w:hAnsi="Arial" w:cs="Arial"/>
          <w:snapToGrid w:val="0"/>
          <w:vertAlign w:val="superscript"/>
          <w:lang w:val="en-US"/>
        </w:rPr>
        <w:t>-1</w:t>
      </w:r>
      <w:r w:rsidRPr="00D454F7">
        <w:rPr>
          <w:rFonts w:ascii="Arial" w:hAnsi="Arial" w:cs="Arial"/>
          <w:snapToGrid w:val="0"/>
          <w:lang w:val="en-US"/>
        </w:rPr>
        <w:t xml:space="preserve"> h</w:t>
      </w:r>
      <w:r w:rsidRPr="00D454F7">
        <w:rPr>
          <w:rFonts w:ascii="Arial" w:hAnsi="Arial" w:cs="Arial"/>
          <w:snapToGrid w:val="0"/>
          <w:vertAlign w:val="superscript"/>
          <w:lang w:val="en-US"/>
        </w:rPr>
        <w:t>-1</w:t>
      </w:r>
    </w:p>
    <w:p w14:paraId="420463FC" w14:textId="5CD8CBFF" w:rsidR="00CE0233" w:rsidRPr="00D454F7" w:rsidRDefault="00D454F7" w:rsidP="00364089">
      <w:pPr>
        <w:pStyle w:val="Paragraphedeliste"/>
        <w:numPr>
          <w:ilvl w:val="0"/>
          <w:numId w:val="3"/>
        </w:numPr>
        <w:tabs>
          <w:tab w:val="left" w:pos="4678"/>
        </w:tabs>
        <w:spacing w:before="60"/>
        <w:rPr>
          <w:rFonts w:ascii="Arial" w:eastAsia="Arial" w:hAnsi="Arial" w:cs="Arial"/>
          <w:i/>
          <w:iCs/>
          <w:lang w:val="en-US" w:eastAsia="es-ES_tradnl"/>
        </w:rPr>
      </w:pPr>
      <w:r w:rsidRPr="00D454F7">
        <w:rPr>
          <w:rFonts w:ascii="Arial" w:hAnsi="Arial" w:cs="Arial"/>
          <w:lang w:val="en-US"/>
        </w:rPr>
        <w:t>Méthionine uptake</w:t>
      </w:r>
      <w:r w:rsidRPr="00D454F7">
        <w:rPr>
          <w:rFonts w:ascii="Arial" w:hAnsi="Arial" w:cs="Arial"/>
          <w:snapToGrid w:val="0"/>
          <w:lang w:val="en-US"/>
        </w:rPr>
        <w:tab/>
      </w:r>
      <w:r w:rsidR="008A5107" w:rsidRPr="00D454F7">
        <w:rPr>
          <w:rFonts w:ascii="Arial" w:hAnsi="Arial" w:cs="Arial"/>
          <w:snapToGrid w:val="0"/>
          <w:lang w:val="en-US"/>
        </w:rPr>
        <w:t>nmol Methionine L</w:t>
      </w:r>
      <w:r w:rsidR="008A5107" w:rsidRPr="00D454F7">
        <w:rPr>
          <w:rFonts w:ascii="Arial" w:hAnsi="Arial" w:cs="Arial"/>
          <w:snapToGrid w:val="0"/>
          <w:vertAlign w:val="superscript"/>
          <w:lang w:val="en-US"/>
        </w:rPr>
        <w:t>-1</w:t>
      </w:r>
      <w:r w:rsidR="008A5107" w:rsidRPr="00D454F7">
        <w:rPr>
          <w:rFonts w:ascii="Arial" w:hAnsi="Arial" w:cs="Arial"/>
          <w:snapToGrid w:val="0"/>
          <w:lang w:val="en-US"/>
        </w:rPr>
        <w:t xml:space="preserve"> h</w:t>
      </w:r>
      <w:r w:rsidR="008A5107" w:rsidRPr="00D454F7">
        <w:rPr>
          <w:rFonts w:ascii="Arial" w:hAnsi="Arial" w:cs="Arial"/>
          <w:snapToGrid w:val="0"/>
          <w:vertAlign w:val="superscript"/>
          <w:lang w:val="en-US"/>
        </w:rPr>
        <w:t>-1</w:t>
      </w:r>
    </w:p>
    <w:p w14:paraId="3D7C91C4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6EF0D029" w14:textId="77777777" w:rsidR="00CE0233" w:rsidRPr="00D454F7" w:rsidRDefault="00591D3A" w:rsidP="00CE0233">
      <w:pPr>
        <w:pStyle w:val="Paragraphestandard"/>
        <w:rPr>
          <w:rFonts w:eastAsia="Arial" w:cs="Arial"/>
          <w:i/>
          <w:iCs/>
          <w:lang w:eastAsia="es-ES_tradnl"/>
        </w:rPr>
      </w:pPr>
      <w:bookmarkStart w:id="0" w:name="_GoBack"/>
      <w:r w:rsidRPr="00D454F7">
        <w:rPr>
          <w:rFonts w:cs="Arial"/>
          <w:snapToGrid w:val="0"/>
        </w:rPr>
        <w:t>N/A</w:t>
      </w:r>
    </w:p>
    <w:bookmarkEnd w:id="0"/>
    <w:p w14:paraId="276EAB6F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5BB38296" w14:textId="77777777" w:rsidR="00D0498F" w:rsidRPr="00D0498F" w:rsidRDefault="00D0498F" w:rsidP="00D0498F">
      <w:pPr>
        <w:pStyle w:val="Paragraphestandard"/>
      </w:pPr>
      <w:r>
        <w:t>N/A</w:t>
      </w:r>
    </w:p>
    <w:p w14:paraId="10A5965A" w14:textId="77777777" w:rsidR="00AE2BD6" w:rsidRDefault="00AE2BD6" w:rsidP="00D0498F">
      <w:pPr>
        <w:pStyle w:val="Titre2"/>
      </w:pPr>
      <w:r w:rsidRPr="00AE2BD6">
        <w:t>Estimated Date of Delivery</w:t>
      </w:r>
    </w:p>
    <w:p w14:paraId="3B85B6B7" w14:textId="0AAC75A0" w:rsidR="004F1081" w:rsidRPr="00D454F7" w:rsidRDefault="004F1081" w:rsidP="00D454F7">
      <w:pPr>
        <w:pStyle w:val="Listepuces"/>
        <w:tabs>
          <w:tab w:val="clear" w:pos="360"/>
          <w:tab w:val="left" w:pos="3544"/>
        </w:tabs>
        <w:spacing w:before="120"/>
        <w:ind w:left="284" w:hanging="284"/>
        <w:rPr>
          <w:rFonts w:ascii="Arial" w:hAnsi="Arial" w:cs="Arial"/>
          <w:lang w:val="en-US"/>
        </w:rPr>
      </w:pPr>
      <w:r w:rsidRPr="00D454F7">
        <w:rPr>
          <w:rFonts w:ascii="Arial" w:hAnsi="Arial" w:cs="Arial"/>
          <w:lang w:val="en-US"/>
        </w:rPr>
        <w:t>16S rRNA gene sequencing:</w:t>
      </w:r>
      <w:r w:rsidR="00D454F7">
        <w:rPr>
          <w:rFonts w:ascii="Arial" w:hAnsi="Arial" w:cs="Arial"/>
          <w:lang w:val="en-US"/>
        </w:rPr>
        <w:tab/>
      </w:r>
      <w:r w:rsidRPr="00D454F7">
        <w:rPr>
          <w:rFonts w:ascii="Arial" w:hAnsi="Arial" w:cs="Arial"/>
          <w:lang w:val="en-US"/>
        </w:rPr>
        <w:t>2–3 years after cruise end</w:t>
      </w:r>
      <w:r w:rsidR="00CE0233" w:rsidRPr="00D454F7">
        <w:rPr>
          <w:rFonts w:ascii="Arial" w:hAnsi="Arial" w:cs="Arial"/>
          <w:lang w:val="en-US"/>
        </w:rPr>
        <w:t>,</w:t>
      </w:r>
    </w:p>
    <w:p w14:paraId="13BF50EB" w14:textId="68ED701B" w:rsidR="004F1081" w:rsidRPr="00D454F7" w:rsidRDefault="004F1081" w:rsidP="00D454F7">
      <w:pPr>
        <w:pStyle w:val="Listepuces"/>
        <w:tabs>
          <w:tab w:val="clear" w:pos="360"/>
          <w:tab w:val="left" w:pos="3544"/>
        </w:tabs>
        <w:ind w:left="284" w:hanging="284"/>
        <w:rPr>
          <w:rFonts w:ascii="Arial" w:hAnsi="Arial" w:cs="Arial"/>
          <w:lang w:val="en-US"/>
        </w:rPr>
      </w:pPr>
      <w:r w:rsidRPr="00D454F7">
        <w:rPr>
          <w:rFonts w:ascii="Arial" w:hAnsi="Arial" w:cs="Arial"/>
          <w:lang w:val="en-US"/>
        </w:rPr>
        <w:t>MICRO-CARD-FISH:</w:t>
      </w:r>
      <w:r w:rsidR="00D454F7">
        <w:rPr>
          <w:rFonts w:ascii="Arial" w:hAnsi="Arial" w:cs="Arial"/>
          <w:lang w:val="en-US"/>
        </w:rPr>
        <w:tab/>
      </w:r>
      <w:r w:rsidRPr="00D454F7">
        <w:rPr>
          <w:rFonts w:ascii="Arial" w:hAnsi="Arial" w:cs="Arial"/>
          <w:lang w:val="en-US"/>
        </w:rPr>
        <w:t>1–2 years after cruise end</w:t>
      </w:r>
      <w:r w:rsidR="00CE0233" w:rsidRPr="00D454F7">
        <w:rPr>
          <w:rFonts w:ascii="Arial" w:hAnsi="Arial" w:cs="Arial"/>
          <w:lang w:val="en-US"/>
        </w:rPr>
        <w:t>,</w:t>
      </w:r>
    </w:p>
    <w:p w14:paraId="2D8FF0F5" w14:textId="32D956A8" w:rsidR="004F1081" w:rsidRPr="00D454F7" w:rsidRDefault="004F1081" w:rsidP="00D454F7">
      <w:pPr>
        <w:pStyle w:val="Listepuces"/>
        <w:tabs>
          <w:tab w:val="clear" w:pos="360"/>
          <w:tab w:val="left" w:pos="3544"/>
        </w:tabs>
        <w:ind w:left="284" w:hanging="284"/>
        <w:rPr>
          <w:rFonts w:ascii="Arial" w:hAnsi="Arial" w:cs="Arial"/>
          <w:lang w:val="en-US"/>
        </w:rPr>
      </w:pPr>
      <w:r w:rsidRPr="00D454F7">
        <w:rPr>
          <w:rFonts w:ascii="Arial" w:hAnsi="Arial" w:cs="Arial"/>
          <w:lang w:val="en-US"/>
        </w:rPr>
        <w:t>microscopical analyses:</w:t>
      </w:r>
      <w:r w:rsidR="00D454F7">
        <w:rPr>
          <w:rFonts w:ascii="Arial" w:hAnsi="Arial" w:cs="Arial"/>
          <w:lang w:val="en-US"/>
        </w:rPr>
        <w:tab/>
      </w:r>
      <w:r w:rsidRPr="00D454F7">
        <w:rPr>
          <w:rFonts w:ascii="Arial" w:hAnsi="Arial" w:cs="Arial"/>
          <w:lang w:val="en-US"/>
        </w:rPr>
        <w:t>1–2 years after cruise end</w:t>
      </w:r>
      <w:r w:rsidR="00CE0233" w:rsidRPr="00D454F7">
        <w:rPr>
          <w:rFonts w:ascii="Arial" w:hAnsi="Arial" w:cs="Arial"/>
          <w:lang w:val="en-US"/>
        </w:rPr>
        <w:t>,</w:t>
      </w:r>
    </w:p>
    <w:p w14:paraId="061BB994" w14:textId="24F1541F" w:rsidR="004F1081" w:rsidRPr="00D454F7" w:rsidRDefault="00420608" w:rsidP="00D454F7">
      <w:pPr>
        <w:pStyle w:val="Listepuces"/>
        <w:tabs>
          <w:tab w:val="clear" w:pos="360"/>
          <w:tab w:val="left" w:pos="3544"/>
        </w:tabs>
        <w:ind w:left="284" w:hanging="284"/>
        <w:rPr>
          <w:rFonts w:ascii="Arial" w:hAnsi="Arial" w:cs="Arial"/>
          <w:lang w:val="en-US"/>
        </w:rPr>
      </w:pPr>
      <w:r w:rsidRPr="00D454F7">
        <w:rPr>
          <w:rFonts w:ascii="Arial" w:hAnsi="Arial" w:cs="Arial"/>
          <w:lang w:val="en-US"/>
        </w:rPr>
        <w:t>Flow cytometry</w:t>
      </w:r>
      <w:r w:rsidR="004F1081" w:rsidRPr="00D454F7">
        <w:rPr>
          <w:rFonts w:ascii="Arial" w:hAnsi="Arial" w:cs="Arial"/>
          <w:lang w:val="en-US"/>
        </w:rPr>
        <w:t>:</w:t>
      </w:r>
      <w:r w:rsidR="00D454F7">
        <w:rPr>
          <w:rFonts w:ascii="Arial" w:hAnsi="Arial" w:cs="Arial"/>
          <w:lang w:val="en-US"/>
        </w:rPr>
        <w:tab/>
      </w:r>
      <w:r w:rsidR="004F1081" w:rsidRPr="00D454F7">
        <w:rPr>
          <w:rFonts w:ascii="Arial" w:hAnsi="Arial" w:cs="Arial"/>
          <w:lang w:val="en-US"/>
        </w:rPr>
        <w:t>1 years after cruise end.</w:t>
      </w:r>
    </w:p>
    <w:p w14:paraId="70AB1CAF" w14:textId="77777777" w:rsidR="00AE2BD6" w:rsidRDefault="00D0498F" w:rsidP="00D0498F">
      <w:pPr>
        <w:pStyle w:val="Titre1"/>
      </w:pPr>
      <w:r w:rsidRPr="00F56736">
        <w:rPr>
          <w:lang w:val="en-US"/>
        </w:rPr>
        <w:t>BIBLI</w:t>
      </w:r>
      <w:r w:rsidRPr="00D0498F">
        <w:t>OGRAPHY</w:t>
      </w:r>
    </w:p>
    <w:p w14:paraId="6F784F12" w14:textId="77777777" w:rsidR="00CE0233" w:rsidRPr="002734F8" w:rsidRDefault="00CE0233" w:rsidP="00CE0233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591D3A">
        <w:rPr>
          <w:lang w:val="es-ES"/>
        </w:rPr>
        <w:t xml:space="preserve">Hamasaki K., Taniguchi A., Tada Y., Long R.A., Azam F., 2007. </w:t>
      </w:r>
      <w:r w:rsidRPr="00CE0233">
        <w:rPr>
          <w:lang w:val="en-US"/>
        </w:rPr>
        <w:t xml:space="preserve">Actively growing bacteria in the inland sea of japan, identified by combined bromodeoxyuridine immunocapture and denaturing gradient gel electrophoresis. </w:t>
      </w:r>
      <w:r w:rsidRPr="002734F8">
        <w:rPr>
          <w:i/>
          <w:lang w:val="en-US"/>
        </w:rPr>
        <w:t>Applied and Environmental Microbiology</w:t>
      </w:r>
      <w:r w:rsidRPr="002734F8">
        <w:rPr>
          <w:lang w:val="en-US"/>
        </w:rPr>
        <w:t xml:space="preserve">, </w:t>
      </w:r>
      <w:r w:rsidRPr="002734F8">
        <w:rPr>
          <w:b/>
          <w:lang w:val="en-US"/>
        </w:rPr>
        <w:t>73</w:t>
      </w:r>
      <w:r w:rsidRPr="002734F8">
        <w:rPr>
          <w:lang w:val="en-US"/>
        </w:rPr>
        <w:t>, 2787–2798.</w:t>
      </w:r>
    </w:p>
    <w:p w14:paraId="757E5C26" w14:textId="77777777" w:rsidR="00CE0233" w:rsidRPr="00014FA8" w:rsidRDefault="00CE0233" w:rsidP="00CE0233">
      <w:pPr>
        <w:pStyle w:val="Bibliographie"/>
        <w:widowControl w:val="0"/>
        <w:ind w:left="992" w:hanging="992"/>
        <w:jc w:val="both"/>
        <w:rPr>
          <w:lang w:val="en-US"/>
        </w:rPr>
      </w:pPr>
      <w:r w:rsidRPr="002734F8">
        <w:rPr>
          <w:lang w:val="en-US"/>
        </w:rPr>
        <w:t xml:space="preserve">Samo T.J., Smriga S., Malfatti F., Sherwood B.P., Azam F., 2014. </w:t>
      </w:r>
      <w:r w:rsidRPr="00014FA8">
        <w:rPr>
          <w:lang w:val="en-US"/>
        </w:rPr>
        <w:t xml:space="preserve">Broad distribution and high proportion of protein synthesis active marine bacteria revealed by click chemistry at the single cell level. </w:t>
      </w:r>
      <w:r w:rsidRPr="00014FA8">
        <w:rPr>
          <w:i/>
          <w:lang w:val="en-US"/>
        </w:rPr>
        <w:t>Frontiers in Marine Science</w:t>
      </w:r>
      <w:r w:rsidRPr="00014FA8">
        <w:rPr>
          <w:lang w:val="en-US"/>
        </w:rPr>
        <w:t xml:space="preserve">, </w:t>
      </w:r>
      <w:r w:rsidRPr="00014FA8">
        <w:rPr>
          <w:b/>
          <w:lang w:val="en-US"/>
        </w:rPr>
        <w:t>1</w:t>
      </w:r>
      <w:r w:rsidR="002734F8" w:rsidRPr="00014FA8">
        <w:rPr>
          <w:lang w:val="en-US"/>
        </w:rPr>
        <w:t>,</w:t>
      </w:r>
      <w:r w:rsidRPr="00014FA8">
        <w:rPr>
          <w:lang w:val="en-US"/>
        </w:rPr>
        <w:t xml:space="preserve"> 48.</w:t>
      </w:r>
    </w:p>
    <w:p w14:paraId="0BA20C54" w14:textId="77777777" w:rsidR="00CE0233" w:rsidRPr="002734F8" w:rsidRDefault="00CE0233" w:rsidP="00CE0233">
      <w:pPr>
        <w:pStyle w:val="Bibliographie"/>
        <w:widowControl w:val="0"/>
        <w:ind w:left="992" w:hanging="992"/>
        <w:jc w:val="both"/>
        <w:rPr>
          <w:lang w:val="en-US"/>
        </w:rPr>
      </w:pPr>
      <w:r w:rsidRPr="00014FA8">
        <w:rPr>
          <w:lang w:val="en-US"/>
        </w:rPr>
        <w:t xml:space="preserve">Sintes E., Herndl G.J., 2006. Quantifying substrate uptake by individual cells of marine bacterioplankton by catalyzed reporter deposition fluorescence </w:t>
      </w:r>
      <w:r w:rsidRPr="00014FA8">
        <w:rPr>
          <w:i/>
          <w:lang w:val="en-US"/>
        </w:rPr>
        <w:t>in situ</w:t>
      </w:r>
      <w:r w:rsidRPr="00014FA8">
        <w:rPr>
          <w:lang w:val="en-US"/>
        </w:rPr>
        <w:t xml:space="preserve"> hybrid- ization combined with microautoradiography. </w:t>
      </w:r>
      <w:r w:rsidRPr="002734F8">
        <w:rPr>
          <w:i/>
          <w:lang w:val="en-US"/>
        </w:rPr>
        <w:t>Applied and Environmental Microbiology</w:t>
      </w:r>
      <w:r w:rsidRPr="002734F8">
        <w:rPr>
          <w:lang w:val="en-US"/>
        </w:rPr>
        <w:t xml:space="preserve">, </w:t>
      </w:r>
      <w:r w:rsidRPr="002734F8">
        <w:rPr>
          <w:b/>
          <w:lang w:val="en-US"/>
        </w:rPr>
        <w:t>72</w:t>
      </w:r>
      <w:r w:rsidR="002734F8" w:rsidRPr="002734F8">
        <w:rPr>
          <w:lang w:val="en-US"/>
        </w:rPr>
        <w:t>,</w:t>
      </w:r>
      <w:r w:rsidRPr="002734F8">
        <w:rPr>
          <w:lang w:val="en-US"/>
        </w:rPr>
        <w:t xml:space="preserve"> 7022–7028.</w:t>
      </w:r>
    </w:p>
    <w:p w14:paraId="62BFA2FE" w14:textId="77777777" w:rsidR="00D0498F" w:rsidRPr="00CE0233" w:rsidRDefault="00CE0233" w:rsidP="00CE0233">
      <w:pPr>
        <w:pStyle w:val="Bibliographie"/>
        <w:widowControl w:val="0"/>
        <w:ind w:left="992" w:hanging="992"/>
        <w:jc w:val="both"/>
        <w:rPr>
          <w:lang w:val="en-US"/>
        </w:rPr>
      </w:pPr>
      <w:r w:rsidRPr="002734F8">
        <w:rPr>
          <w:lang w:val="en-US"/>
        </w:rPr>
        <w:t>Stepanauskas</w:t>
      </w:r>
      <w:r w:rsidR="002734F8" w:rsidRPr="002734F8">
        <w:rPr>
          <w:lang w:val="en-US"/>
        </w:rPr>
        <w:t xml:space="preserve"> R.</w:t>
      </w:r>
      <w:r w:rsidRPr="002734F8">
        <w:rPr>
          <w:lang w:val="en-US"/>
        </w:rPr>
        <w:t>, Sieracki</w:t>
      </w:r>
      <w:r w:rsidR="002734F8">
        <w:rPr>
          <w:lang w:val="en-US"/>
        </w:rPr>
        <w:t xml:space="preserve"> M.E</w:t>
      </w:r>
      <w:r w:rsidRPr="002734F8">
        <w:rPr>
          <w:lang w:val="en-US"/>
        </w:rPr>
        <w:t>.</w:t>
      </w:r>
      <w:r w:rsidR="002734F8">
        <w:rPr>
          <w:lang w:val="en-US"/>
        </w:rPr>
        <w:t>,</w:t>
      </w:r>
      <w:r w:rsidRPr="002734F8">
        <w:rPr>
          <w:lang w:val="en-US"/>
        </w:rPr>
        <w:t xml:space="preserve"> 2007. Matching phylogeny and metabolism in the uncultured marine bacteria, one cell at a time. </w:t>
      </w:r>
      <w:r w:rsidRPr="002734F8">
        <w:rPr>
          <w:i/>
          <w:lang w:val="en-US"/>
        </w:rPr>
        <w:t>Proceedings of the National Academy of Sciences of the United States of America</w:t>
      </w:r>
      <w:r w:rsidRPr="00CE0233">
        <w:rPr>
          <w:lang w:val="en-US"/>
        </w:rPr>
        <w:t xml:space="preserve">, </w:t>
      </w:r>
      <w:r w:rsidRPr="002734F8">
        <w:rPr>
          <w:b/>
          <w:lang w:val="en-US"/>
        </w:rPr>
        <w:t>104</w:t>
      </w:r>
      <w:r w:rsidR="002734F8">
        <w:rPr>
          <w:lang w:val="en-US"/>
        </w:rPr>
        <w:t>,</w:t>
      </w:r>
      <w:r w:rsidRPr="00CE0233">
        <w:rPr>
          <w:lang w:val="en-US"/>
        </w:rPr>
        <w:t xml:space="preserve"> 9052-9057.</w:t>
      </w:r>
    </w:p>
    <w:p w14:paraId="6CDCD81E" w14:textId="77777777" w:rsidR="00CE0233" w:rsidRPr="00CE0233" w:rsidRDefault="00CE0233" w:rsidP="002734F8">
      <w:pPr>
        <w:pBdr>
          <w:bottom w:val="single" w:sz="4" w:space="1" w:color="auto"/>
        </w:pBdr>
        <w:rPr>
          <w:lang w:val="en-US"/>
        </w:rPr>
      </w:pPr>
    </w:p>
    <w:sectPr w:rsidR="00CE0233" w:rsidRPr="00CE023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842BE" w14:textId="77777777" w:rsidR="00216124" w:rsidRDefault="00216124" w:rsidP="001400EB">
      <w:r>
        <w:separator/>
      </w:r>
    </w:p>
  </w:endnote>
  <w:endnote w:type="continuationSeparator" w:id="0">
    <w:p w14:paraId="3AEF1AE7" w14:textId="77777777" w:rsidR="00216124" w:rsidRDefault="00216124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2802" w14:textId="77777777" w:rsidR="00216124" w:rsidRDefault="00216124" w:rsidP="001400EB">
      <w:r>
        <w:separator/>
      </w:r>
    </w:p>
  </w:footnote>
  <w:footnote w:type="continuationSeparator" w:id="0">
    <w:p w14:paraId="4332ADDD" w14:textId="77777777" w:rsidR="00216124" w:rsidRDefault="00216124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A65AD" w14:paraId="591CFBA0" w14:textId="77777777" w:rsidTr="00062451">
      <w:trPr>
        <w:trHeight w:val="867"/>
      </w:trPr>
      <w:tc>
        <w:tcPr>
          <w:tcW w:w="1287" w:type="dxa"/>
          <w:vAlign w:val="center"/>
        </w:tcPr>
        <w:p w14:paraId="0A2A8077" w14:textId="77777777" w:rsidR="003A65AD" w:rsidRDefault="003A65AD" w:rsidP="00751E33">
          <w:r>
            <w:rPr>
              <w:noProof/>
              <w:lang w:val="en-US"/>
            </w:rPr>
            <w:drawing>
              <wp:inline distT="0" distB="0" distL="0" distR="0" wp14:anchorId="7C677F28" wp14:editId="29862F4C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1B8F076F" w14:textId="77777777" w:rsidR="003A65AD" w:rsidRPr="001400EB" w:rsidRDefault="003A65AD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47EDFBD8" w14:textId="77777777" w:rsidR="003A65AD" w:rsidRDefault="003A65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84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0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CC6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82A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A3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0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E0E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20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482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229"/>
    <w:multiLevelType w:val="hybridMultilevel"/>
    <w:tmpl w:val="92BA5262"/>
    <w:lvl w:ilvl="0" w:tplc="A8207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2F7C1F"/>
    <w:multiLevelType w:val="multilevel"/>
    <w:tmpl w:val="2DEE8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3082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6C5ED0"/>
    <w:multiLevelType w:val="hybridMultilevel"/>
    <w:tmpl w:val="61485DEC"/>
    <w:numStyleLink w:val="Numbered"/>
  </w:abstractNum>
  <w:abstractNum w:abstractNumId="21" w15:restartNumberingAfterBreak="0">
    <w:nsid w:val="74245777"/>
    <w:multiLevelType w:val="hybridMultilevel"/>
    <w:tmpl w:val="977AB426"/>
    <w:lvl w:ilvl="0" w:tplc="0B7CED2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B5EB5"/>
    <w:multiLevelType w:val="hybridMultilevel"/>
    <w:tmpl w:val="5ECAEF8E"/>
    <w:lvl w:ilvl="0" w:tplc="A63AA0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15"/>
  </w:num>
  <w:num w:numId="7">
    <w:abstractNumId w:val="14"/>
  </w:num>
  <w:num w:numId="8">
    <w:abstractNumId w:val="20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2"/>
  </w:num>
  <w:num w:numId="22">
    <w:abstractNumId w:val="18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14FA8"/>
    <w:rsid w:val="00035E50"/>
    <w:rsid w:val="00062451"/>
    <w:rsid w:val="00081264"/>
    <w:rsid w:val="0008641A"/>
    <w:rsid w:val="000C6932"/>
    <w:rsid w:val="001400EB"/>
    <w:rsid w:val="00196401"/>
    <w:rsid w:val="00216124"/>
    <w:rsid w:val="00216E19"/>
    <w:rsid w:val="002425CB"/>
    <w:rsid w:val="00242833"/>
    <w:rsid w:val="002734F8"/>
    <w:rsid w:val="002F506F"/>
    <w:rsid w:val="002F5641"/>
    <w:rsid w:val="00347739"/>
    <w:rsid w:val="0035228D"/>
    <w:rsid w:val="00386161"/>
    <w:rsid w:val="003A65AD"/>
    <w:rsid w:val="003B4FDF"/>
    <w:rsid w:val="00420608"/>
    <w:rsid w:val="0044253E"/>
    <w:rsid w:val="0044423A"/>
    <w:rsid w:val="004925AB"/>
    <w:rsid w:val="00496457"/>
    <w:rsid w:val="004D1212"/>
    <w:rsid w:val="004D7A39"/>
    <w:rsid w:val="004E5FB5"/>
    <w:rsid w:val="004F1081"/>
    <w:rsid w:val="004F1AEF"/>
    <w:rsid w:val="00513493"/>
    <w:rsid w:val="00590B44"/>
    <w:rsid w:val="00591D3A"/>
    <w:rsid w:val="005A6C46"/>
    <w:rsid w:val="005C3343"/>
    <w:rsid w:val="0064095B"/>
    <w:rsid w:val="006A7880"/>
    <w:rsid w:val="006D2B5E"/>
    <w:rsid w:val="006E6FE6"/>
    <w:rsid w:val="007057A7"/>
    <w:rsid w:val="00751E33"/>
    <w:rsid w:val="00766325"/>
    <w:rsid w:val="00781ABF"/>
    <w:rsid w:val="007A4584"/>
    <w:rsid w:val="007C7AE3"/>
    <w:rsid w:val="007F34BC"/>
    <w:rsid w:val="00875166"/>
    <w:rsid w:val="00881EDA"/>
    <w:rsid w:val="00894510"/>
    <w:rsid w:val="008953A5"/>
    <w:rsid w:val="008A5107"/>
    <w:rsid w:val="008B719F"/>
    <w:rsid w:val="008F78F4"/>
    <w:rsid w:val="00900E02"/>
    <w:rsid w:val="00915616"/>
    <w:rsid w:val="00A01CC7"/>
    <w:rsid w:val="00A62274"/>
    <w:rsid w:val="00A77D81"/>
    <w:rsid w:val="00A96236"/>
    <w:rsid w:val="00AC0F4E"/>
    <w:rsid w:val="00AC1DA0"/>
    <w:rsid w:val="00AE2BD6"/>
    <w:rsid w:val="00B954F2"/>
    <w:rsid w:val="00B95F85"/>
    <w:rsid w:val="00BD4F8E"/>
    <w:rsid w:val="00BE1040"/>
    <w:rsid w:val="00C35F85"/>
    <w:rsid w:val="00C54ED5"/>
    <w:rsid w:val="00CA6C51"/>
    <w:rsid w:val="00CC6AF2"/>
    <w:rsid w:val="00CD5C8C"/>
    <w:rsid w:val="00CE0233"/>
    <w:rsid w:val="00CE2744"/>
    <w:rsid w:val="00CF2832"/>
    <w:rsid w:val="00D002C4"/>
    <w:rsid w:val="00D0498F"/>
    <w:rsid w:val="00D10314"/>
    <w:rsid w:val="00D45156"/>
    <w:rsid w:val="00D454F7"/>
    <w:rsid w:val="00D74D4F"/>
    <w:rsid w:val="00D95330"/>
    <w:rsid w:val="00DD78A1"/>
    <w:rsid w:val="00E41BBC"/>
    <w:rsid w:val="00E547A0"/>
    <w:rsid w:val="00E7382A"/>
    <w:rsid w:val="00E76AFA"/>
    <w:rsid w:val="00E8335F"/>
    <w:rsid w:val="00EB3C54"/>
    <w:rsid w:val="00EC4908"/>
    <w:rsid w:val="00EF2868"/>
    <w:rsid w:val="00F003B2"/>
    <w:rsid w:val="00F3771F"/>
    <w:rsid w:val="00F41DB0"/>
    <w:rsid w:val="00F41FCC"/>
    <w:rsid w:val="00F56736"/>
    <w:rsid w:val="00F61BC2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3B1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5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CE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va.sintes@univie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sintes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2018-05-28T08:39:00Z</dcterms:created>
  <dcterms:modified xsi:type="dcterms:W3CDTF">2018-05-28T08:39:00Z</dcterms:modified>
</cp:coreProperties>
</file>