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Pr="0069008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FF11E4">
        <w:rPr>
          <w:rFonts w:ascii="Arial" w:hAnsi="Arial" w:cs="Arial"/>
          <w:b/>
          <w:color w:val="306FBB"/>
          <w:lang w:val="en-US"/>
        </w:rPr>
        <w:t>Diatom</w:t>
      </w:r>
      <w:r w:rsidR="00690084">
        <w:rPr>
          <w:rFonts w:ascii="Arial" w:hAnsi="Arial" w:cs="Arial"/>
          <w:b/>
          <w:color w:val="306FBB"/>
          <w:lang w:val="en-US"/>
        </w:rPr>
        <w:t xml:space="preserve"> triple </w:t>
      </w:r>
      <w:r w:rsidR="00690084" w:rsidRPr="00690084">
        <w:rPr>
          <w:rFonts w:ascii="Arial" w:hAnsi="Arial" w:cs="Arial"/>
          <w:b/>
          <w:color w:val="306FBB"/>
          <w:lang w:val="en-US"/>
        </w:rPr>
        <w:t xml:space="preserve">labelling 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>(</w:t>
      </w:r>
      <w:r w:rsidR="00690084" w:rsidRPr="00690084">
        <w:rPr>
          <w:rFonts w:ascii="Arial" w:hAnsi="Arial"/>
          <w:b/>
          <w:snapToGrid w:val="0"/>
          <w:color w:val="306FBB"/>
          <w:vertAlign w:val="superscript"/>
          <w:lang w:val="en-US"/>
        </w:rPr>
        <w:t>30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 xml:space="preserve">Si, </w:t>
      </w:r>
      <w:r w:rsidR="00690084" w:rsidRPr="00690084">
        <w:rPr>
          <w:rFonts w:ascii="Arial" w:hAnsi="Arial"/>
          <w:b/>
          <w:snapToGrid w:val="0"/>
          <w:color w:val="306FBB"/>
          <w:vertAlign w:val="superscript"/>
          <w:lang w:val="en-US"/>
        </w:rPr>
        <w:t>13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 xml:space="preserve">C, and </w:t>
      </w:r>
      <w:r w:rsidR="00690084" w:rsidRPr="00690084">
        <w:rPr>
          <w:rFonts w:ascii="Arial" w:hAnsi="Arial"/>
          <w:b/>
          <w:snapToGrid w:val="0"/>
          <w:color w:val="306FBB"/>
          <w:vertAlign w:val="superscript"/>
          <w:lang w:val="en-US"/>
        </w:rPr>
        <w:t>15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>NO</w:t>
      </w:r>
      <w:r w:rsidR="00690084" w:rsidRPr="00690084">
        <w:rPr>
          <w:rFonts w:ascii="Arial" w:hAnsi="Arial"/>
          <w:b/>
          <w:snapToGrid w:val="0"/>
          <w:color w:val="306FBB"/>
          <w:vertAlign w:val="subscript"/>
          <w:lang w:val="en-US"/>
        </w:rPr>
        <w:t>3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 xml:space="preserve"> vs </w:t>
      </w:r>
      <w:r w:rsidR="00690084" w:rsidRPr="00690084">
        <w:rPr>
          <w:rFonts w:ascii="Arial" w:hAnsi="Arial"/>
          <w:b/>
          <w:snapToGrid w:val="0"/>
          <w:color w:val="306FBB"/>
          <w:vertAlign w:val="superscript"/>
          <w:lang w:val="en-US"/>
        </w:rPr>
        <w:t>15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>NH</w:t>
      </w:r>
      <w:r w:rsidR="00690084" w:rsidRPr="00690084">
        <w:rPr>
          <w:rFonts w:ascii="Arial" w:hAnsi="Arial"/>
          <w:b/>
          <w:snapToGrid w:val="0"/>
          <w:color w:val="306FBB"/>
          <w:vertAlign w:val="subscript"/>
          <w:lang w:val="en-US"/>
        </w:rPr>
        <w:t>4</w:t>
      </w:r>
      <w:r w:rsidR="00690084" w:rsidRPr="00690084">
        <w:rPr>
          <w:rFonts w:ascii="Arial" w:hAnsi="Arial"/>
          <w:b/>
          <w:snapToGrid w:val="0"/>
          <w:color w:val="306FBB"/>
          <w:lang w:val="en-US"/>
        </w:rPr>
        <w:t>)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C51A4" w:rsidRPr="005C51A4" w:rsidTr="00B95F85">
        <w:tc>
          <w:tcPr>
            <w:tcW w:w="1555" w:type="dxa"/>
          </w:tcPr>
          <w:p w:rsidR="00B95F85" w:rsidRPr="005C51A4" w:rsidRDefault="00B95F85" w:rsidP="00B95F85">
            <w:pPr>
              <w:spacing w:before="60"/>
              <w:rPr>
                <w:rFonts w:ascii="Arial" w:hAnsi="Arial" w:cs="Arial"/>
                <w:lang w:val="en-US"/>
              </w:rPr>
            </w:pPr>
            <w:bookmarkStart w:id="0" w:name="_GoBack"/>
            <w:r w:rsidRPr="005C51A4">
              <w:rPr>
                <w:rFonts w:ascii="Arial" w:hAnsi="Arial" w:cs="Arial"/>
                <w:lang w:val="en-US"/>
              </w:rPr>
              <w:t>Parameters:</w:t>
            </w:r>
          </w:p>
          <w:bookmarkEnd w:id="0"/>
          <w:p w:rsidR="00B95F85" w:rsidRPr="005C51A4" w:rsidRDefault="00B95F85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7654" w:type="dxa"/>
          </w:tcPr>
          <w:p w:rsidR="002C359B" w:rsidRPr="005C51A4" w:rsidRDefault="003D27F9" w:rsidP="002A5510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5C51A4">
              <w:rPr>
                <w:rFonts w:ascii="Arial" w:hAnsi="Arial" w:cs="Arial"/>
                <w:b/>
                <w:color w:val="0070C0"/>
                <w:lang w:val="en-US"/>
              </w:rPr>
              <w:t>single cell</w:t>
            </w:r>
            <w:r w:rsidR="002A5510" w:rsidRPr="005C51A4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="00690084" w:rsidRPr="005C51A4">
              <w:rPr>
                <w:rFonts w:ascii="Arial" w:hAnsi="Arial" w:cs="Arial"/>
                <w:b/>
                <w:color w:val="0070C0"/>
                <w:lang w:val="en-US"/>
              </w:rPr>
              <w:t xml:space="preserve">uptake of </w:t>
            </w:r>
            <w:r w:rsidR="00690084" w:rsidRPr="005C51A4">
              <w:rPr>
                <w:rFonts w:ascii="Arial" w:hAnsi="Arial"/>
                <w:b/>
                <w:snapToGrid w:val="0"/>
                <w:color w:val="0070C0"/>
                <w:lang w:val="en-US"/>
              </w:rPr>
              <w:t>Si/C/N (NO</w:t>
            </w:r>
            <w:r w:rsidR="00690084" w:rsidRPr="005C51A4">
              <w:rPr>
                <w:rFonts w:ascii="Arial" w:hAnsi="Arial"/>
                <w:b/>
                <w:snapToGrid w:val="0"/>
                <w:color w:val="0070C0"/>
                <w:vertAlign w:val="subscript"/>
                <w:lang w:val="en-US"/>
              </w:rPr>
              <w:t>3</w:t>
            </w:r>
            <w:r w:rsidR="00690084" w:rsidRPr="005C51A4">
              <w:rPr>
                <w:rFonts w:ascii="Arial" w:hAnsi="Arial"/>
                <w:b/>
                <w:snapToGrid w:val="0"/>
                <w:color w:val="0070C0"/>
                <w:lang w:val="en-US"/>
              </w:rPr>
              <w:t xml:space="preserve"> vs NH</w:t>
            </w:r>
            <w:r w:rsidR="00690084" w:rsidRPr="005C51A4">
              <w:rPr>
                <w:rFonts w:ascii="Arial" w:hAnsi="Arial"/>
                <w:b/>
                <w:snapToGrid w:val="0"/>
                <w:color w:val="0070C0"/>
                <w:vertAlign w:val="subscript"/>
                <w:lang w:val="en-US"/>
              </w:rPr>
              <w:t>4</w:t>
            </w:r>
            <w:r w:rsidR="00690084" w:rsidRPr="005C51A4">
              <w:rPr>
                <w:rFonts w:ascii="Arial" w:hAnsi="Arial"/>
                <w:b/>
                <w:snapToGrid w:val="0"/>
                <w:color w:val="0070C0"/>
                <w:lang w:val="en-US"/>
              </w:rPr>
              <w:t>)</w:t>
            </w:r>
          </w:p>
          <w:p w:rsidR="00690084" w:rsidRPr="005C51A4" w:rsidRDefault="00690084" w:rsidP="002A5510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5C51A4">
              <w:rPr>
                <w:rFonts w:ascii="Arial" w:hAnsi="Arial" w:cs="Arial"/>
                <w:b/>
                <w:color w:val="0070C0"/>
                <w:lang w:val="en-US"/>
              </w:rPr>
              <w:t>image bank</w:t>
            </w:r>
          </w:p>
          <w:p w:rsidR="00624513" w:rsidRPr="005C51A4" w:rsidRDefault="00624513" w:rsidP="002A5510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5C51A4">
              <w:rPr>
                <w:rFonts w:ascii="Arial" w:hAnsi="Arial" w:cs="Arial"/>
                <w:b/>
                <w:color w:val="0070C0"/>
                <w:lang w:val="en-US"/>
              </w:rPr>
              <w:t>silicic acid concentrations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9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690084" w:rsidRDefault="00DD78A1" w:rsidP="00DD78A1">
      <w:pPr>
        <w:ind w:left="2410" w:hanging="2410"/>
        <w:rPr>
          <w:rFonts w:ascii="Arial" w:hAnsi="Arial" w:cs="Arial"/>
          <w:lang w:val="en-US"/>
        </w:rPr>
      </w:pPr>
      <w:r w:rsidRPr="00690084">
        <w:rPr>
          <w:rFonts w:ascii="Arial" w:hAnsi="Arial" w:cs="Arial"/>
          <w:lang w:val="en-US"/>
        </w:rPr>
        <w:t>Parameter supervisor:</w:t>
      </w:r>
      <w:r w:rsidRPr="00690084">
        <w:rPr>
          <w:rFonts w:ascii="Arial" w:hAnsi="Arial" w:cs="Arial"/>
          <w:lang w:val="en-US"/>
        </w:rPr>
        <w:tab/>
      </w:r>
      <w:r w:rsidR="00690084" w:rsidRPr="00690084">
        <w:rPr>
          <w:rFonts w:ascii="Arial" w:eastAsia="Arial Unicode MS" w:hAnsi="Arial" w:cs="Arial"/>
          <w:b/>
          <w:color w:val="0070C0"/>
          <w:lang w:val="en-US"/>
        </w:rPr>
        <w:t>Karine Leblanc</w:t>
      </w:r>
    </w:p>
    <w:p w:rsidR="00690084" w:rsidRPr="00624513" w:rsidRDefault="00690084" w:rsidP="00690084">
      <w:pPr>
        <w:ind w:left="2410"/>
        <w:rPr>
          <w:rFonts w:ascii="Arial" w:eastAsia="Arial Unicode MS" w:hAnsi="Arial" w:cs="Arial"/>
          <w:lang w:val="en-US"/>
        </w:rPr>
      </w:pPr>
      <w:r w:rsidRPr="00624513">
        <w:rPr>
          <w:rFonts w:ascii="Arial" w:eastAsia="Arial Unicode MS" w:hAnsi="Arial" w:cs="Arial"/>
          <w:lang w:val="en-US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DD78A1" w:rsidP="00DD78A1">
      <w:pPr>
        <w:ind w:left="2410"/>
      </w:pPr>
      <w:r w:rsidRPr="00AC1DA0">
        <w:rPr>
          <w:rFonts w:ascii="Arial" w:eastAsia="Arial Unicode MS" w:hAnsi="Arial" w:cs="Arial"/>
        </w:rPr>
        <w:t>+33 (0)</w:t>
      </w:r>
      <w:r w:rsidR="00690084">
        <w:rPr>
          <w:rFonts w:ascii="Arial" w:eastAsia="Arial Unicode MS" w:hAnsi="Arial" w:cs="Arial"/>
        </w:rPr>
        <w:t>4</w:t>
      </w:r>
      <w:r w:rsidR="002A5510" w:rsidRPr="002A5510">
        <w:rPr>
          <w:rFonts w:ascii="Arial" w:eastAsia="Arial Unicode MS" w:hAnsi="Arial" w:cs="Arial"/>
        </w:rPr>
        <w:t xml:space="preserve"> </w:t>
      </w:r>
      <w:r w:rsidR="00690084">
        <w:rPr>
          <w:rFonts w:ascii="Arial" w:eastAsia="Arial Unicode MS" w:hAnsi="Arial" w:cs="Arial"/>
        </w:rPr>
        <w:t>86 09 05 72</w:t>
      </w:r>
    </w:p>
    <w:p w:rsidR="00690084" w:rsidRDefault="005A32C6" w:rsidP="00DD78A1">
      <w:pPr>
        <w:ind w:left="2410"/>
        <w:rPr>
          <w:rFonts w:ascii="Arial" w:eastAsia="Arial Unicode MS" w:hAnsi="Arial" w:cs="Arial"/>
        </w:rPr>
      </w:pPr>
      <w:hyperlink r:id="rId10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690084" w:rsidRPr="00624513" w:rsidRDefault="00DD78A1" w:rsidP="00690084">
      <w:pPr>
        <w:ind w:left="2410" w:hanging="2410"/>
        <w:rPr>
          <w:rFonts w:ascii="Arial" w:hAnsi="Arial" w:cs="Arial"/>
        </w:rPr>
      </w:pPr>
      <w:r w:rsidRPr="00624513">
        <w:rPr>
          <w:rFonts w:ascii="Arial" w:hAnsi="Arial" w:cs="Arial"/>
        </w:rPr>
        <w:t>Dataset contact:</w:t>
      </w:r>
      <w:r w:rsidRPr="00624513">
        <w:rPr>
          <w:rFonts w:ascii="Arial" w:hAnsi="Arial" w:cs="Arial"/>
        </w:rPr>
        <w:tab/>
      </w:r>
      <w:r w:rsidR="00690084" w:rsidRPr="00624513">
        <w:rPr>
          <w:rFonts w:ascii="Arial" w:eastAsia="Arial Unicode MS" w:hAnsi="Arial" w:cs="Arial"/>
          <w:b/>
          <w:color w:val="0070C0"/>
        </w:rPr>
        <w:t>Karine Leblanc</w:t>
      </w:r>
    </w:p>
    <w:p w:rsidR="00690084" w:rsidRPr="00624513" w:rsidRDefault="00690084" w:rsidP="00690084">
      <w:pPr>
        <w:ind w:left="2410"/>
        <w:rPr>
          <w:rFonts w:ascii="Arial" w:eastAsia="Arial Unicode MS" w:hAnsi="Arial" w:cs="Arial"/>
        </w:rPr>
      </w:pPr>
      <w:r w:rsidRPr="00624513">
        <w:rPr>
          <w:rFonts w:ascii="Arial" w:eastAsia="Arial Unicode MS" w:hAnsi="Arial" w:cs="Arial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+33 (0)</w:t>
      </w:r>
      <w:r>
        <w:rPr>
          <w:rFonts w:ascii="Arial" w:eastAsia="Arial Unicode MS" w:hAnsi="Arial" w:cs="Arial"/>
        </w:rPr>
        <w:t>4</w:t>
      </w:r>
      <w:r w:rsidRPr="002A551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86 09 05 72</w:t>
      </w:r>
    </w:p>
    <w:p w:rsidR="007E0A45" w:rsidRPr="00EC5587" w:rsidRDefault="005A32C6" w:rsidP="00690084">
      <w:pPr>
        <w:ind w:left="2410"/>
        <w:rPr>
          <w:rFonts w:ascii="Arial" w:eastAsia="Arial Unicode MS" w:hAnsi="Arial" w:cs="Arial"/>
          <w:lang w:val="en-US"/>
        </w:rPr>
      </w:pPr>
      <w:hyperlink r:id="rId11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2F5641" w:rsidRDefault="002F5641" w:rsidP="007E0A45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7E0A45" w:rsidRDefault="007E0A45" w:rsidP="00977224">
      <w:pPr>
        <w:pStyle w:val="Paragraphestandard"/>
      </w:pPr>
      <w:r w:rsidRPr="007E0A45">
        <w:t xml:space="preserve">Samples </w:t>
      </w:r>
      <w:r w:rsidR="00236B8D">
        <w:t xml:space="preserve">from </w:t>
      </w:r>
      <w:r w:rsidRPr="007E0A45">
        <w:t xml:space="preserve">surface water </w:t>
      </w:r>
      <w:r w:rsidR="00236B8D">
        <w:t>(</w:t>
      </w:r>
      <w:r w:rsidRPr="007E0A45">
        <w:t xml:space="preserve">10 or 15 m) were taken from rosette bottles </w:t>
      </w:r>
      <w:r>
        <w:t>during CTD NCP casts.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1C4546" w:rsidRPr="004F3DD9" w:rsidRDefault="001C4546" w:rsidP="001C4546">
      <w:pPr>
        <w:pStyle w:val="Paragraphestandard"/>
        <w:rPr>
          <w:rFonts w:eastAsia="Arial" w:cs="Arial"/>
        </w:rPr>
      </w:pPr>
      <w:r>
        <w:t>M2_1</w:t>
      </w:r>
      <w:r w:rsidR="00FF11E4">
        <w:t xml:space="preserve"> (CTD_008)</w:t>
      </w:r>
      <w:r>
        <w:t>, M4_1</w:t>
      </w:r>
      <w:r w:rsidR="00FF11E4">
        <w:t xml:space="preserve"> (CTD_015)</w:t>
      </w:r>
      <w:r>
        <w:t>, M3</w:t>
      </w:r>
      <w:r w:rsidR="00FF11E4">
        <w:t xml:space="preserve"> (CTD_024)</w:t>
      </w:r>
      <w:r>
        <w:t>, M2_2</w:t>
      </w:r>
      <w:r w:rsidR="00FF11E4">
        <w:t xml:space="preserve"> (CTD_032</w:t>
      </w:r>
      <w:r w:rsidR="00236B8D">
        <w:t>)</w:t>
      </w:r>
      <w:r>
        <w:t>, M1</w:t>
      </w:r>
      <w:r w:rsidR="00FF11E4">
        <w:t xml:space="preserve"> (CTD_040)</w:t>
      </w:r>
      <w:r>
        <w:t>, M4_2</w:t>
      </w:r>
      <w:r w:rsidR="00FF11E4">
        <w:t xml:space="preserve"> (CTD_043)</w:t>
      </w:r>
      <w:r>
        <w:t>, M2_3</w:t>
      </w:r>
      <w:r w:rsidR="00FF11E4">
        <w:t xml:space="preserve"> (CTD_054)</w:t>
      </w:r>
      <w:r>
        <w:t>, M3_</w:t>
      </w:r>
      <w:r w:rsidR="003353F9">
        <w:t>3</w:t>
      </w:r>
      <w:r w:rsidR="00FF11E4">
        <w:t xml:space="preserve"> (CTD_062)</w:t>
      </w:r>
      <w:r>
        <w:t xml:space="preserve"> </w:t>
      </w:r>
    </w:p>
    <w:p w:rsidR="00CE2744" w:rsidRPr="00B36081" w:rsidRDefault="0035228D" w:rsidP="00D0498F">
      <w:pPr>
        <w:pStyle w:val="Titre1"/>
        <w:rPr>
          <w:lang w:val="en-US"/>
        </w:rPr>
      </w:pPr>
      <w:r w:rsidRPr="00B36081">
        <w:rPr>
          <w:lang w:val="en-US"/>
        </w:rPr>
        <w:t>INSTRUMENTS</w:t>
      </w:r>
    </w:p>
    <w:p w:rsidR="00A13E49" w:rsidRPr="0035228D" w:rsidRDefault="00A13E49" w:rsidP="00A13E49">
      <w:pPr>
        <w:pStyle w:val="Paragraphestandard"/>
        <w:ind w:left="2410" w:hanging="1985"/>
      </w:pPr>
      <w:r w:rsidRPr="0035228D">
        <w:t>Instrument Type:</w:t>
      </w:r>
      <w:r>
        <w:tab/>
      </w:r>
      <w:r w:rsidR="001C4546" w:rsidRPr="001C4546">
        <w:rPr>
          <w:b/>
        </w:rPr>
        <w:t>Nanometer-scale secondary-ion mass spectrometer</w:t>
      </w:r>
    </w:p>
    <w:p w:rsidR="00A13E49" w:rsidRPr="0035228D" w:rsidRDefault="00A13E49" w:rsidP="009A484E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1C4546">
        <w:rPr>
          <w:b/>
        </w:rPr>
        <w:t>CAMERA</w:t>
      </w:r>
    </w:p>
    <w:p w:rsidR="00A13E49" w:rsidRPr="0035228D" w:rsidRDefault="00A13E49" w:rsidP="009A484E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="001C4546" w:rsidRPr="001C4546">
        <w:rPr>
          <w:b/>
        </w:rPr>
        <w:t>NanoSIMS 50</w:t>
      </w:r>
    </w:p>
    <w:p w:rsidR="00A13E49" w:rsidRDefault="00A13E49" w:rsidP="009A484E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="00BE10D1">
        <w:rPr>
          <w:b/>
        </w:rPr>
        <w:t>N/A</w:t>
      </w:r>
    </w:p>
    <w:p w:rsidR="009A484E" w:rsidRPr="009A484E" w:rsidRDefault="009A484E" w:rsidP="009A484E">
      <w:pPr>
        <w:pStyle w:val="Paragraphestandard"/>
        <w:rPr>
          <w:b/>
        </w:rPr>
      </w:pPr>
      <w:r w:rsidRPr="009A484E">
        <w:t>Instrument Type:</w:t>
      </w:r>
      <w:r>
        <w:rPr>
          <w:b/>
        </w:rPr>
        <w:t xml:space="preserve"> Spectrophotometer</w:t>
      </w:r>
    </w:p>
    <w:p w:rsidR="009A484E" w:rsidRPr="009A484E" w:rsidRDefault="009A484E" w:rsidP="009A484E">
      <w:pPr>
        <w:pStyle w:val="Paragraphestandard"/>
        <w:spacing w:before="0"/>
        <w:rPr>
          <w:b/>
        </w:rPr>
      </w:pPr>
      <w:r w:rsidRPr="009A484E">
        <w:t>Manufacturer:</w:t>
      </w:r>
      <w:r w:rsidRPr="009A484E">
        <w:rPr>
          <w:b/>
        </w:rPr>
        <w:t xml:space="preserve"> Hel</w:t>
      </w:r>
      <w:r>
        <w:rPr>
          <w:b/>
        </w:rPr>
        <w:t>i</w:t>
      </w:r>
      <w:r w:rsidRPr="009A484E">
        <w:rPr>
          <w:b/>
        </w:rPr>
        <w:t xml:space="preserve">os </w:t>
      </w:r>
    </w:p>
    <w:p w:rsidR="009A484E" w:rsidRPr="009A484E" w:rsidRDefault="009A484E" w:rsidP="009A484E">
      <w:pPr>
        <w:pStyle w:val="Paragraphestandard"/>
        <w:spacing w:before="0"/>
        <w:rPr>
          <w:b/>
          <w:lang w:val="fr-FR"/>
        </w:rPr>
      </w:pPr>
      <w:r w:rsidRPr="009A484E">
        <w:t>Model:</w:t>
      </w:r>
      <w:r w:rsidRPr="009A484E">
        <w:rPr>
          <w:b/>
        </w:rPr>
        <w:t xml:space="preserve">  Hel</w:t>
      </w:r>
      <w:r>
        <w:rPr>
          <w:b/>
        </w:rPr>
        <w:t>i</w:t>
      </w:r>
      <w:r w:rsidRPr="009A484E">
        <w:rPr>
          <w:b/>
        </w:rPr>
        <w:t>os gamma</w:t>
      </w:r>
    </w:p>
    <w:p w:rsidR="009A484E" w:rsidRPr="009A484E" w:rsidRDefault="009A484E" w:rsidP="009A484E">
      <w:pPr>
        <w:pStyle w:val="Paragraphestandard"/>
        <w:spacing w:before="0"/>
      </w:pPr>
      <w:r w:rsidRPr="009A484E">
        <w:t>Instrument Features / Calibration:</w:t>
      </w:r>
      <w:r w:rsidRPr="009A484E">
        <w:rPr>
          <w:b/>
        </w:rPr>
        <w:t xml:space="preserve"> </w:t>
      </w:r>
      <w:r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FF11E4" w:rsidRDefault="00FF11E4" w:rsidP="003C55D5">
      <w:pPr>
        <w:pStyle w:val="Paragraphestandard"/>
        <w:rPr>
          <w:lang w:eastAsia="fr-FR"/>
        </w:rPr>
      </w:pPr>
      <w:r w:rsidRPr="00FF11E4">
        <w:rPr>
          <w:lang w:eastAsia="fr-FR"/>
        </w:rPr>
        <w:t xml:space="preserve">Triple labelling of </w:t>
      </w:r>
      <w:r w:rsidRPr="00FF11E4">
        <w:rPr>
          <w:vertAlign w:val="superscript"/>
          <w:lang w:eastAsia="fr-FR"/>
        </w:rPr>
        <w:t>30</w:t>
      </w:r>
      <w:r w:rsidRPr="00FF11E4">
        <w:rPr>
          <w:lang w:eastAsia="fr-FR"/>
        </w:rPr>
        <w:t xml:space="preserve">Si,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NO</w:t>
      </w:r>
      <w:r w:rsidRPr="00FF11E4">
        <w:rPr>
          <w:vertAlign w:val="subscript"/>
          <w:lang w:eastAsia="fr-FR"/>
        </w:rPr>
        <w:t>3</w:t>
      </w:r>
      <w:r w:rsidRPr="00FF11E4">
        <w:rPr>
          <w:lang w:eastAsia="fr-FR"/>
        </w:rPr>
        <w:t xml:space="preserve">,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NH</w:t>
      </w:r>
      <w:r w:rsidRPr="00FF11E4">
        <w:rPr>
          <w:vertAlign w:val="subscript"/>
          <w:lang w:eastAsia="fr-FR"/>
        </w:rPr>
        <w:t>4</w:t>
      </w:r>
      <w:r w:rsidRPr="00FF11E4">
        <w:rPr>
          <w:lang w:eastAsia="fr-FR"/>
        </w:rPr>
        <w:t xml:space="preserve"> and </w:t>
      </w:r>
      <w:r w:rsidRPr="00FF11E4">
        <w:rPr>
          <w:vertAlign w:val="superscript"/>
          <w:lang w:eastAsia="fr-FR"/>
        </w:rPr>
        <w:t>13</w:t>
      </w:r>
      <w:r w:rsidRPr="00FF11E4">
        <w:rPr>
          <w:lang w:eastAsia="fr-FR"/>
        </w:rPr>
        <w:t xml:space="preserve">C for NanoSIMS analysis experiments were carried out at each site following Bonnet </w:t>
      </w:r>
      <w:r w:rsidRPr="00FF11E4">
        <w:rPr>
          <w:i/>
          <w:lang w:eastAsia="fr-FR"/>
        </w:rPr>
        <w:t>et al.</w:t>
      </w:r>
      <w:r w:rsidRPr="00FF11E4">
        <w:rPr>
          <w:lang w:eastAsia="fr-FR"/>
        </w:rPr>
        <w:t xml:space="preserve"> (2016). At the surface depth on each NCP CTD, 2 </w:t>
      </w:r>
      <w:r w:rsidRPr="00FF11E4">
        <w:rPr>
          <w:sz w:val="20"/>
          <w:lang w:eastAsia="fr-FR"/>
        </w:rPr>
        <w:t>x</w:t>
      </w:r>
      <w:r w:rsidRPr="00FF11E4">
        <w:rPr>
          <w:lang w:eastAsia="fr-FR"/>
        </w:rPr>
        <w:t xml:space="preserve"> 2 L samples were spiked with </w:t>
      </w:r>
      <w:r w:rsidRPr="00FF11E4">
        <w:rPr>
          <w:vertAlign w:val="superscript"/>
          <w:lang w:eastAsia="fr-FR"/>
        </w:rPr>
        <w:t>30</w:t>
      </w:r>
      <w:r w:rsidRPr="00FF11E4">
        <w:rPr>
          <w:lang w:eastAsia="fr-FR"/>
        </w:rPr>
        <w:t xml:space="preserve">Si, </w:t>
      </w:r>
      <w:r w:rsidRPr="00FF11E4">
        <w:rPr>
          <w:vertAlign w:val="superscript"/>
          <w:lang w:eastAsia="fr-FR"/>
        </w:rPr>
        <w:t>13</w:t>
      </w:r>
      <w:r w:rsidRPr="00FF11E4">
        <w:rPr>
          <w:lang w:eastAsia="fr-FR"/>
        </w:rPr>
        <w:t xml:space="preserve">C, and one with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NH</w:t>
      </w:r>
      <w:r w:rsidRPr="00FF11E4">
        <w:rPr>
          <w:vertAlign w:val="subscript"/>
          <w:lang w:eastAsia="fr-FR"/>
        </w:rPr>
        <w:t>4</w:t>
      </w:r>
      <w:r w:rsidRPr="00FF11E4">
        <w:rPr>
          <w:lang w:eastAsia="fr-FR"/>
        </w:rPr>
        <w:t xml:space="preserve">, the other with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NO3. A third 2 L sample was not spiked as control. Nutrients and NH</w:t>
      </w:r>
      <w:r w:rsidRPr="00FF11E4">
        <w:rPr>
          <w:vertAlign w:val="subscript"/>
          <w:lang w:eastAsia="fr-FR"/>
        </w:rPr>
        <w:t>4</w:t>
      </w:r>
      <w:r w:rsidRPr="00FF11E4">
        <w:rPr>
          <w:lang w:eastAsia="fr-FR"/>
        </w:rPr>
        <w:t xml:space="preserve"> were subsampled at T</w:t>
      </w:r>
      <w:r w:rsidRPr="00FF11E4">
        <w:rPr>
          <w:vertAlign w:val="subscript"/>
          <w:lang w:eastAsia="fr-FR"/>
        </w:rPr>
        <w:t>0</w:t>
      </w:r>
      <w:r w:rsidRPr="00FF11E4">
        <w:rPr>
          <w:lang w:eastAsia="fr-FR"/>
        </w:rPr>
        <w:t xml:space="preserve"> (analyses tobe done at LOMIC by Olivier Crispi). After 24h incubation, 2 </w:t>
      </w:r>
      <w:r w:rsidRPr="00FF11E4">
        <w:rPr>
          <w:sz w:val="20"/>
          <w:lang w:eastAsia="fr-FR"/>
        </w:rPr>
        <w:t>x</w:t>
      </w:r>
      <w:r w:rsidRPr="00FF11E4">
        <w:rPr>
          <w:lang w:eastAsia="fr-FR"/>
        </w:rPr>
        <w:t xml:space="preserve"> 125 mL samples were incubated 1 h in 2% PFA, before being filtered onto 2 </w:t>
      </w:r>
      <w:r>
        <w:rPr>
          <w:lang w:eastAsia="fr-FR"/>
        </w:rPr>
        <w:t>µ</w:t>
      </w:r>
      <w:r w:rsidRPr="00FF11E4">
        <w:rPr>
          <w:lang w:eastAsia="fr-FR"/>
        </w:rPr>
        <w:t xml:space="preserve">m nuclepore filters, then stored in Petri slides at </w:t>
      </w:r>
      <w:r>
        <w:rPr>
          <w:lang w:eastAsia="fr-FR"/>
        </w:rPr>
        <w:t>–</w:t>
      </w:r>
      <w:r w:rsidRPr="00FF11E4">
        <w:rPr>
          <w:lang w:eastAsia="fr-FR"/>
        </w:rPr>
        <w:t xml:space="preserve">80°C. A lugol–fixed sample was collected from the non spiked sample and the rest was filtered onto 0.6 </w:t>
      </w:r>
      <w:r>
        <w:rPr>
          <w:lang w:eastAsia="fr-FR"/>
        </w:rPr>
        <w:t>µ</w:t>
      </w:r>
      <w:r w:rsidRPr="00FF11E4">
        <w:rPr>
          <w:lang w:eastAsia="fr-FR"/>
        </w:rPr>
        <w:t xml:space="preserve">m polycarbonate filter for BSi analyses. The rest of the two samples spiked with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NH</w:t>
      </w:r>
      <w:r w:rsidRPr="00FF11E4">
        <w:rPr>
          <w:vertAlign w:val="subscript"/>
          <w:lang w:eastAsia="fr-FR"/>
        </w:rPr>
        <w:t>4</w:t>
      </w:r>
      <w:r w:rsidRPr="00FF11E4">
        <w:rPr>
          <w:lang w:eastAsia="fr-FR"/>
        </w:rPr>
        <w:t xml:space="preserve"> and </w:t>
      </w:r>
      <w:r w:rsidRPr="00FF11E4">
        <w:rPr>
          <w:vertAlign w:val="superscript"/>
          <w:lang w:eastAsia="fr-FR"/>
        </w:rPr>
        <w:t>15</w:t>
      </w:r>
      <w:r w:rsidRPr="00FF11E4">
        <w:rPr>
          <w:lang w:eastAsia="fr-FR"/>
        </w:rPr>
        <w:t>NO</w:t>
      </w:r>
      <w:r w:rsidRPr="00FF11E4">
        <w:rPr>
          <w:vertAlign w:val="subscript"/>
          <w:lang w:eastAsia="fr-FR"/>
        </w:rPr>
        <w:t>3</w:t>
      </w:r>
      <w:r w:rsidRPr="00FF11E4">
        <w:rPr>
          <w:lang w:eastAsia="fr-FR"/>
        </w:rPr>
        <w:t xml:space="preserve"> were filtered onto pre-combusted </w:t>
      </w:r>
      <w:r w:rsidR="003C55D5">
        <w:rPr>
          <w:lang w:eastAsia="fr-FR"/>
        </w:rPr>
        <w:t xml:space="preserve">Whatman </w:t>
      </w:r>
      <w:r w:rsidRPr="00FF11E4">
        <w:rPr>
          <w:lang w:eastAsia="fr-FR"/>
        </w:rPr>
        <w:t xml:space="preserve">GFF filters for mass spectrometry determination of POC, PON, </w:t>
      </w:r>
      <w:r w:rsidR="003C55D5">
        <w:rPr>
          <w:lang w:val="el-GR" w:eastAsia="fr-FR"/>
        </w:rPr>
        <w:t>ρ</w:t>
      </w:r>
      <w:r w:rsidRPr="00FF11E4">
        <w:rPr>
          <w:lang w:eastAsia="fr-FR"/>
        </w:rPr>
        <w:t>NO</w:t>
      </w:r>
      <w:r w:rsidRPr="00FF11E4">
        <w:rPr>
          <w:vertAlign w:val="subscript"/>
          <w:lang w:eastAsia="fr-FR"/>
        </w:rPr>
        <w:t>3</w:t>
      </w:r>
      <w:r w:rsidRPr="00FF11E4">
        <w:rPr>
          <w:lang w:eastAsia="fr-FR"/>
        </w:rPr>
        <w:t xml:space="preserve"> and </w:t>
      </w:r>
      <w:r w:rsidR="003C55D5">
        <w:rPr>
          <w:lang w:val="el-GR" w:eastAsia="fr-FR"/>
        </w:rPr>
        <w:t>ρ</w:t>
      </w:r>
      <w:r w:rsidRPr="00FF11E4">
        <w:rPr>
          <w:lang w:eastAsia="fr-FR"/>
        </w:rPr>
        <w:t>NH</w:t>
      </w:r>
      <w:r w:rsidRPr="00FF11E4">
        <w:rPr>
          <w:vertAlign w:val="subscript"/>
          <w:lang w:eastAsia="fr-FR"/>
        </w:rPr>
        <w:t>4</w:t>
      </w:r>
      <w:r w:rsidR="00624513">
        <w:rPr>
          <w:lang w:eastAsia="fr-FR"/>
        </w:rPr>
        <w:t xml:space="preserve"> (H. Berthelot, LEMAR).</w:t>
      </w:r>
    </w:p>
    <w:p w:rsidR="00624513" w:rsidRPr="00FF11E4" w:rsidRDefault="00624513" w:rsidP="003C55D5">
      <w:pPr>
        <w:pStyle w:val="Paragraphestandard"/>
        <w:rPr>
          <w:lang w:eastAsia="fr-FR"/>
        </w:rPr>
      </w:pPr>
      <w:r>
        <w:rPr>
          <w:lang w:eastAsia="fr-FR"/>
        </w:rPr>
        <w:t>Surface o</w:t>
      </w:r>
      <w:r w:rsidRPr="00624513">
        <w:rPr>
          <w:lang w:eastAsia="fr-FR"/>
        </w:rPr>
        <w:t xml:space="preserve">rthosilicic acid concentrations were measured from either </w:t>
      </w:r>
      <w:r>
        <w:rPr>
          <w:lang w:eastAsia="fr-FR"/>
        </w:rPr>
        <w:t>rosette bottle</w:t>
      </w:r>
      <w:r w:rsidRPr="00624513">
        <w:rPr>
          <w:lang w:eastAsia="fr-FR"/>
        </w:rPr>
        <w:t xml:space="preserve"> or shipboard continuous flowthrough water supply prior to each NCP CTD, following the colorimetric method of Mullin and Riley (1962) adapted by Strickland and Parsons (1972).</w:t>
      </w:r>
    </w:p>
    <w:p w:rsidR="00AE2BD6" w:rsidRDefault="00AE2BD6" w:rsidP="00977224">
      <w:pPr>
        <w:pStyle w:val="Titre2"/>
      </w:pPr>
      <w:r>
        <w:t>Analytical procedure</w:t>
      </w:r>
    </w:p>
    <w:p w:rsidR="003C55D5" w:rsidRPr="003C55D5" w:rsidRDefault="003C55D5" w:rsidP="003C55D5">
      <w:pPr>
        <w:pStyle w:val="Paragraphestandard"/>
        <w:rPr>
          <w:rFonts w:eastAsiaTheme="majorEastAsia" w:cs="Arial"/>
          <w:b/>
          <w:color w:val="0070C0"/>
          <w:sz w:val="26"/>
          <w:szCs w:val="26"/>
        </w:rPr>
      </w:pPr>
      <w:r w:rsidRPr="003C55D5">
        <w:rPr>
          <w:u w:color="000000"/>
        </w:rPr>
        <w:t>Filters for NanoSIMS will be analyzed on in Paris by H. Berthelot. This will allow to quantify the isotopic uptake (</w:t>
      </w:r>
      <w:r>
        <w:t xml:space="preserve">% enrichment per taxon </w:t>
      </w:r>
      <w:r w:rsidRPr="003C55D5">
        <w:rPr>
          <w:u w:color="000000"/>
          <w:lang w:val="en-GB"/>
        </w:rPr>
        <w:t xml:space="preserve">) </w:t>
      </w:r>
      <w:r w:rsidRPr="003C55D5">
        <w:rPr>
          <w:u w:color="000000"/>
        </w:rPr>
        <w:t xml:space="preserve">of each element within the cells, and help determine which species preferentially take up </w:t>
      </w:r>
      <w:r w:rsidRPr="00FF11E4">
        <w:rPr>
          <w:lang w:eastAsia="fr-FR"/>
        </w:rPr>
        <w:t>NO</w:t>
      </w:r>
      <w:r w:rsidRPr="003C55D5">
        <w:rPr>
          <w:vertAlign w:val="subscript"/>
          <w:lang w:eastAsia="fr-FR"/>
        </w:rPr>
        <w:t>3</w:t>
      </w:r>
      <w:r w:rsidRPr="003C55D5">
        <w:rPr>
          <w:u w:color="000000"/>
        </w:rPr>
        <w:t xml:space="preserve"> or </w:t>
      </w:r>
      <w:r w:rsidRPr="00FF11E4">
        <w:rPr>
          <w:lang w:eastAsia="fr-FR"/>
        </w:rPr>
        <w:t>N</w:t>
      </w:r>
      <w:r>
        <w:rPr>
          <w:lang w:eastAsia="fr-FR"/>
        </w:rPr>
        <w:t>H</w:t>
      </w:r>
      <w:r w:rsidRPr="003C55D5">
        <w:rPr>
          <w:vertAlign w:val="subscript"/>
          <w:lang w:eastAsia="fr-FR"/>
        </w:rPr>
        <w:t>4</w:t>
      </w:r>
      <w:r w:rsidRPr="003C55D5">
        <w:rPr>
          <w:u w:color="000000"/>
        </w:rPr>
        <w:t>, as well as C and Si.</w:t>
      </w:r>
    </w:p>
    <w:p w:rsidR="00AE2BD6" w:rsidRDefault="00AE2BD6" w:rsidP="003C55D5">
      <w:pPr>
        <w:pStyle w:val="Titre2"/>
      </w:pPr>
      <w:r>
        <w:t>Units</w:t>
      </w:r>
    </w:p>
    <w:p w:rsidR="003C55D5" w:rsidRPr="00624513" w:rsidRDefault="003C55D5" w:rsidP="003C55D5">
      <w:pPr>
        <w:pStyle w:val="Listepersonnellepuces"/>
      </w:pPr>
      <w:r>
        <w:t>specific uptake rate per taxon</w:t>
      </w:r>
      <w:r>
        <w:tab/>
        <w:t>d</w:t>
      </w:r>
      <w:r w:rsidR="00624513" w:rsidRPr="00624513">
        <w:rPr>
          <w:vertAlign w:val="superscript"/>
          <w:lang w:val="en-US"/>
        </w:rPr>
        <w:t>–1</w:t>
      </w:r>
    </w:p>
    <w:p w:rsidR="00624513" w:rsidRDefault="00624513" w:rsidP="00624513">
      <w:pPr>
        <w:pStyle w:val="Listepersonnellepuces"/>
        <w:tabs>
          <w:tab w:val="left" w:pos="4253"/>
        </w:tabs>
      </w:pPr>
      <w:r>
        <w:t>silicic acid concentrations</w:t>
      </w:r>
      <w:r>
        <w:tab/>
        <w:t>µM</w:t>
      </w:r>
    </w:p>
    <w:p w:rsidR="00AE2BD6" w:rsidRPr="00D0498F" w:rsidRDefault="00AE2BD6" w:rsidP="00D0498F">
      <w:pPr>
        <w:pStyle w:val="Titre2"/>
      </w:pPr>
      <w:r w:rsidRPr="00D0498F">
        <w:lastRenderedPageBreak/>
        <w:t>Sensor precision</w:t>
      </w:r>
    </w:p>
    <w:p w:rsidR="00D0498F" w:rsidRPr="00BE10D1" w:rsidRDefault="003C55D5" w:rsidP="00BE10D1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551E4A" w:rsidRDefault="005F317A" w:rsidP="005F317A">
      <w:pPr>
        <w:pStyle w:val="Paragraphestandard"/>
        <w:tabs>
          <w:tab w:val="left" w:pos="4395"/>
        </w:tabs>
      </w:pPr>
      <w:r>
        <w:t>NanoSIMS results</w:t>
      </w:r>
      <w:r>
        <w:tab/>
      </w:r>
      <w:r w:rsidR="003C55D5">
        <w:t>January</w:t>
      </w:r>
      <w:r w:rsidR="00551E4A" w:rsidRPr="00551E4A">
        <w:t xml:space="preserve"> 2019</w:t>
      </w:r>
    </w:p>
    <w:p w:rsidR="005F317A" w:rsidRPr="00551E4A" w:rsidRDefault="005F317A" w:rsidP="005F317A">
      <w:pPr>
        <w:pStyle w:val="Paragraphestandard"/>
        <w:tabs>
          <w:tab w:val="left" w:pos="4395"/>
        </w:tabs>
        <w:spacing w:before="0"/>
      </w:pPr>
      <w:r>
        <w:t>Orthosilicic acid concentrations</w:t>
      </w:r>
      <w:r>
        <w:tab/>
        <w:t>available (measurements done onboard)</w:t>
      </w:r>
    </w:p>
    <w:p w:rsidR="00AE2BD6" w:rsidRPr="00365DEF" w:rsidRDefault="00D0498F" w:rsidP="00D0498F">
      <w:pPr>
        <w:pStyle w:val="Titre1"/>
        <w:rPr>
          <w:lang w:val="en-US"/>
        </w:rPr>
      </w:pPr>
      <w:r w:rsidRPr="00365DEF">
        <w:rPr>
          <w:lang w:val="en-US"/>
        </w:rPr>
        <w:t>BIBLIOGRAPHY</w:t>
      </w:r>
    </w:p>
    <w:p w:rsidR="00F063D0" w:rsidRDefault="00F063D0" w:rsidP="00D0498F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624513" w:rsidRDefault="009B1353" w:rsidP="00624513">
      <w:pPr>
        <w:pStyle w:val="bibliographie"/>
        <w:rPr>
          <w:u w:color="000000"/>
        </w:rPr>
      </w:pPr>
      <w:r w:rsidRPr="009B1353">
        <w:rPr>
          <w:u w:color="000000"/>
        </w:rPr>
        <w:t>Bonnet S., Berthelot H., Turk</w:t>
      </w:r>
      <w:r w:rsidRPr="009B1353">
        <w:rPr>
          <w:rFonts w:ascii="Cambria Math" w:hAnsi="Cambria Math" w:cs="Cambria Math"/>
          <w:u w:color="000000"/>
        </w:rPr>
        <w:t>‐</w:t>
      </w:r>
      <w:r w:rsidRPr="009B1353">
        <w:rPr>
          <w:u w:color="000000"/>
        </w:rPr>
        <w:t>Kubo K., Cornet</w:t>
      </w:r>
      <w:r w:rsidRPr="009B1353">
        <w:rPr>
          <w:rFonts w:ascii="Cambria Math" w:hAnsi="Cambria Math" w:cs="Cambria Math"/>
          <w:u w:color="000000"/>
        </w:rPr>
        <w:t>‐</w:t>
      </w:r>
      <w:r w:rsidRPr="009B1353">
        <w:rPr>
          <w:u w:color="000000"/>
        </w:rPr>
        <w:t>Barthaux V., Fawcett S., Berman</w:t>
      </w:r>
      <w:r w:rsidRPr="009B1353">
        <w:rPr>
          <w:rFonts w:ascii="Cambria Math" w:hAnsi="Cambria Math" w:cs="Cambria Math"/>
          <w:u w:color="000000"/>
        </w:rPr>
        <w:t>‐</w:t>
      </w:r>
      <w:r w:rsidRPr="009B1353">
        <w:rPr>
          <w:u w:color="000000"/>
        </w:rPr>
        <w:t>Frank I., Barani A., Grégori G., Dekaezemacker J., Benavides M., Capone D.G., 2016. Diazotroph derived nitrogen supports diatom growth in the South West Pacific: A quantitative study using nanoSIMS. Limnology and Oceanography 61 (5), 1549-1562.</w:t>
      </w:r>
    </w:p>
    <w:p w:rsidR="009C4F1A" w:rsidRDefault="009C4F1A" w:rsidP="00624513">
      <w:pPr>
        <w:pStyle w:val="bibliographie"/>
        <w:rPr>
          <w:u w:color="000000"/>
        </w:rPr>
      </w:pPr>
    </w:p>
    <w:p w:rsidR="00624513" w:rsidRDefault="00624513" w:rsidP="00624513">
      <w:pPr>
        <w:pStyle w:val="bibliographie"/>
        <w:rPr>
          <w:u w:color="000000"/>
        </w:rPr>
      </w:pPr>
      <w:r w:rsidRPr="00624513">
        <w:rPr>
          <w:u w:color="000000"/>
        </w:rPr>
        <w:t>Mullin J.B.</w:t>
      </w:r>
      <w:r>
        <w:rPr>
          <w:u w:color="000000"/>
        </w:rPr>
        <w:t>,</w:t>
      </w:r>
      <w:r w:rsidRPr="00624513">
        <w:rPr>
          <w:u w:color="000000"/>
        </w:rPr>
        <w:t xml:space="preserve"> Riley J.P.</w:t>
      </w:r>
      <w:r>
        <w:rPr>
          <w:u w:color="000000"/>
        </w:rPr>
        <w:t xml:space="preserve">, </w:t>
      </w:r>
      <w:r w:rsidRPr="00624513">
        <w:rPr>
          <w:u w:color="000000"/>
        </w:rPr>
        <w:t>1962</w:t>
      </w:r>
      <w:r>
        <w:rPr>
          <w:u w:color="000000"/>
        </w:rPr>
        <w:t xml:space="preserve">. </w:t>
      </w:r>
      <w:r w:rsidRPr="00624513">
        <w:rPr>
          <w:u w:color="000000"/>
        </w:rPr>
        <w:t xml:space="preserve">A modified single solution method for determination of phosphate in natural waters, </w:t>
      </w:r>
      <w:r w:rsidRPr="00624513">
        <w:rPr>
          <w:i/>
          <w:u w:color="000000"/>
        </w:rPr>
        <w:t>Analytica Chimica Acta</w:t>
      </w:r>
      <w:r w:rsidRPr="00624513">
        <w:rPr>
          <w:u w:color="000000"/>
        </w:rPr>
        <w:t xml:space="preserve">, </w:t>
      </w:r>
      <w:r w:rsidRPr="00624513">
        <w:rPr>
          <w:b/>
          <w:u w:color="000000"/>
        </w:rPr>
        <w:t>27</w:t>
      </w:r>
      <w:r w:rsidRPr="00624513">
        <w:rPr>
          <w:u w:color="000000"/>
        </w:rPr>
        <w:t>, 31–36</w:t>
      </w:r>
      <w:r>
        <w:rPr>
          <w:u w:color="000000"/>
        </w:rPr>
        <w:t>.</w:t>
      </w:r>
    </w:p>
    <w:p w:rsidR="00624513" w:rsidRDefault="00624513" w:rsidP="00624513">
      <w:pPr>
        <w:pStyle w:val="bibliographie"/>
        <w:rPr>
          <w:u w:color="000000"/>
        </w:rPr>
      </w:pPr>
    </w:p>
    <w:p w:rsidR="00624513" w:rsidRPr="009B1353" w:rsidRDefault="00624513" w:rsidP="00602AAE">
      <w:pPr>
        <w:pStyle w:val="bibliographie"/>
        <w:rPr>
          <w:u w:color="000000"/>
        </w:rPr>
      </w:pPr>
      <w:r>
        <w:rPr>
          <w:u w:color="000000"/>
        </w:rPr>
        <w:t>Strickland</w:t>
      </w:r>
      <w:r w:rsidRPr="00624513">
        <w:rPr>
          <w:u w:color="000000"/>
        </w:rPr>
        <w:t xml:space="preserve"> J.D.H.</w:t>
      </w:r>
      <w:r>
        <w:rPr>
          <w:u w:color="000000"/>
        </w:rPr>
        <w:t>,</w:t>
      </w:r>
      <w:r w:rsidRPr="00624513">
        <w:rPr>
          <w:u w:color="000000"/>
        </w:rPr>
        <w:t xml:space="preserve"> Parsons T.R.</w:t>
      </w:r>
      <w:r>
        <w:rPr>
          <w:u w:color="000000"/>
        </w:rPr>
        <w:t>,</w:t>
      </w:r>
      <w:r w:rsidRPr="00624513">
        <w:rPr>
          <w:u w:color="000000"/>
        </w:rPr>
        <w:t xml:space="preserve"> 1972</w:t>
      </w:r>
      <w:r>
        <w:rPr>
          <w:u w:color="000000"/>
        </w:rPr>
        <w:t xml:space="preserve">. </w:t>
      </w:r>
      <w:r w:rsidRPr="00602AAE">
        <w:rPr>
          <w:i/>
          <w:u w:color="000000"/>
        </w:rPr>
        <w:t>A practical handbook of seawater analysis</w:t>
      </w:r>
      <w:r w:rsidRPr="00602AAE">
        <w:rPr>
          <w:u w:color="000000"/>
        </w:rPr>
        <w:t xml:space="preserve">, </w:t>
      </w:r>
      <w:r w:rsidR="00602AAE">
        <w:rPr>
          <w:lang w:val="en"/>
        </w:rPr>
        <w:t>2nd ed.</w:t>
      </w:r>
      <w:r w:rsidR="00602AAE" w:rsidRPr="00624513">
        <w:rPr>
          <w:u w:color="000000"/>
        </w:rPr>
        <w:t xml:space="preserve"> </w:t>
      </w:r>
      <w:r w:rsidRPr="00602AAE">
        <w:rPr>
          <w:i/>
          <w:u w:color="000000"/>
        </w:rPr>
        <w:t>Fisheries Research Board of Canada Bulletin</w:t>
      </w:r>
      <w:r w:rsidRPr="00624513">
        <w:rPr>
          <w:u w:color="000000"/>
        </w:rPr>
        <w:t xml:space="preserve">, </w:t>
      </w:r>
      <w:r w:rsidRPr="00602AAE">
        <w:rPr>
          <w:b/>
          <w:u w:color="000000"/>
        </w:rPr>
        <w:t>167</w:t>
      </w:r>
      <w:r w:rsidRPr="00624513">
        <w:rPr>
          <w:u w:color="000000"/>
        </w:rPr>
        <w:t xml:space="preserve">, </w:t>
      </w:r>
      <w:r w:rsidR="00602AAE">
        <w:rPr>
          <w:u w:color="000000"/>
        </w:rPr>
        <w:t>328 pp.</w:t>
      </w:r>
    </w:p>
    <w:p w:rsidR="00EA6FD9" w:rsidRDefault="00EA6FD9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EA6FD9" w:rsidSect="00703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10" w:right="1418" w:bottom="863" w:left="1418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C6" w:rsidRDefault="005A32C6" w:rsidP="001400EB">
      <w:r>
        <w:separator/>
      </w:r>
    </w:p>
  </w:endnote>
  <w:endnote w:type="continuationSeparator" w:id="0">
    <w:p w:rsidR="005A32C6" w:rsidRDefault="005A32C6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4A" w:rsidRDefault="007035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4A" w:rsidRDefault="007035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4A" w:rsidRDefault="00703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C6" w:rsidRDefault="005A32C6" w:rsidP="001400EB">
      <w:r>
        <w:separator/>
      </w:r>
    </w:p>
  </w:footnote>
  <w:footnote w:type="continuationSeparator" w:id="0">
    <w:p w:rsidR="005A32C6" w:rsidRDefault="005A32C6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4A" w:rsidRDefault="007035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54A" w:rsidRDefault="00703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1C3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81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8C5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A4F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8A5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FAF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62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60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4CA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lang w:val="en-US"/>
      </w:rPr>
    </w:lvl>
  </w:abstractNum>
  <w:abstractNum w:abstractNumId="12" w15:restartNumberingAfterBreak="0">
    <w:nsid w:val="04D353BE"/>
    <w:multiLevelType w:val="multilevel"/>
    <w:tmpl w:val="6DF0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A66B8"/>
    <w:multiLevelType w:val="hybridMultilevel"/>
    <w:tmpl w:val="BDB4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412B1"/>
    <w:multiLevelType w:val="hybridMultilevel"/>
    <w:tmpl w:val="59C2C7FA"/>
    <w:lvl w:ilvl="0" w:tplc="5B3C74EE">
      <w:start w:val="1"/>
      <w:numFmt w:val="bullet"/>
      <w:pStyle w:val="Listepersonnellepuces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7C8302BA"/>
    <w:multiLevelType w:val="hybridMultilevel"/>
    <w:tmpl w:val="6DF022E4"/>
    <w:lvl w:ilvl="0" w:tplc="1588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17"/>
  </w:num>
  <w:num w:numId="6">
    <w:abstractNumId w:val="16"/>
  </w:num>
  <w:num w:numId="7">
    <w:abstractNumId w:val="19"/>
  </w:num>
  <w:num w:numId="8">
    <w:abstractNumId w:val="21"/>
  </w:num>
  <w:num w:numId="9">
    <w:abstractNumId w:val="12"/>
  </w:num>
  <w:num w:numId="10">
    <w:abstractNumId w:val="2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11239&lt;/item&gt;&lt;/record-ids&gt;&lt;/item&gt;&lt;/Libraries&gt;"/>
  </w:docVars>
  <w:rsids>
    <w:rsidRoot w:val="00590B44"/>
    <w:rsid w:val="00002978"/>
    <w:rsid w:val="00040EA8"/>
    <w:rsid w:val="0005388D"/>
    <w:rsid w:val="00062451"/>
    <w:rsid w:val="00084C21"/>
    <w:rsid w:val="0008641A"/>
    <w:rsid w:val="00095DA6"/>
    <w:rsid w:val="000B083E"/>
    <w:rsid w:val="000B2A58"/>
    <w:rsid w:val="001400EB"/>
    <w:rsid w:val="00141419"/>
    <w:rsid w:val="001474C3"/>
    <w:rsid w:val="001C4546"/>
    <w:rsid w:val="001D2515"/>
    <w:rsid w:val="001E5EB9"/>
    <w:rsid w:val="0021508C"/>
    <w:rsid w:val="00236B8D"/>
    <w:rsid w:val="00242833"/>
    <w:rsid w:val="00244880"/>
    <w:rsid w:val="002A5510"/>
    <w:rsid w:val="002C2625"/>
    <w:rsid w:val="002C359B"/>
    <w:rsid w:val="002F5641"/>
    <w:rsid w:val="003353F9"/>
    <w:rsid w:val="00347739"/>
    <w:rsid w:val="00350E25"/>
    <w:rsid w:val="0035228D"/>
    <w:rsid w:val="00365DEF"/>
    <w:rsid w:val="003C55D5"/>
    <w:rsid w:val="003D27F9"/>
    <w:rsid w:val="003F53AC"/>
    <w:rsid w:val="0043781B"/>
    <w:rsid w:val="0046243C"/>
    <w:rsid w:val="00485FD3"/>
    <w:rsid w:val="00496457"/>
    <w:rsid w:val="004D419C"/>
    <w:rsid w:val="004F1AEF"/>
    <w:rsid w:val="0050128E"/>
    <w:rsid w:val="00513493"/>
    <w:rsid w:val="00551E4A"/>
    <w:rsid w:val="00552D4B"/>
    <w:rsid w:val="005772B0"/>
    <w:rsid w:val="00590B44"/>
    <w:rsid w:val="005A32C6"/>
    <w:rsid w:val="005A6C46"/>
    <w:rsid w:val="005C1FF8"/>
    <w:rsid w:val="005C3343"/>
    <w:rsid w:val="005C51A4"/>
    <w:rsid w:val="005F317A"/>
    <w:rsid w:val="00602AAE"/>
    <w:rsid w:val="0060409C"/>
    <w:rsid w:val="00622160"/>
    <w:rsid w:val="00624513"/>
    <w:rsid w:val="0064095B"/>
    <w:rsid w:val="00667154"/>
    <w:rsid w:val="00671FEB"/>
    <w:rsid w:val="00690084"/>
    <w:rsid w:val="006A7880"/>
    <w:rsid w:val="006B5A25"/>
    <w:rsid w:val="006C4DA4"/>
    <w:rsid w:val="006D2B5E"/>
    <w:rsid w:val="0070354A"/>
    <w:rsid w:val="00751E33"/>
    <w:rsid w:val="00784D76"/>
    <w:rsid w:val="007B1913"/>
    <w:rsid w:val="007E0A45"/>
    <w:rsid w:val="00826084"/>
    <w:rsid w:val="00847BCE"/>
    <w:rsid w:val="00877D9C"/>
    <w:rsid w:val="008953A5"/>
    <w:rsid w:val="008F78F4"/>
    <w:rsid w:val="00900E02"/>
    <w:rsid w:val="0091497E"/>
    <w:rsid w:val="00977224"/>
    <w:rsid w:val="009A484E"/>
    <w:rsid w:val="009B1353"/>
    <w:rsid w:val="009C4F1A"/>
    <w:rsid w:val="00A13E49"/>
    <w:rsid w:val="00A229BA"/>
    <w:rsid w:val="00A958F1"/>
    <w:rsid w:val="00AC1DA0"/>
    <w:rsid w:val="00AD1BC5"/>
    <w:rsid w:val="00AE2BD6"/>
    <w:rsid w:val="00AF5414"/>
    <w:rsid w:val="00AF766C"/>
    <w:rsid w:val="00B07E79"/>
    <w:rsid w:val="00B36081"/>
    <w:rsid w:val="00B86033"/>
    <w:rsid w:val="00B95F85"/>
    <w:rsid w:val="00BD50B7"/>
    <w:rsid w:val="00BE10D1"/>
    <w:rsid w:val="00C43865"/>
    <w:rsid w:val="00C54ED5"/>
    <w:rsid w:val="00C84E7C"/>
    <w:rsid w:val="00C97615"/>
    <w:rsid w:val="00CA0C46"/>
    <w:rsid w:val="00CA6C51"/>
    <w:rsid w:val="00CC0D0B"/>
    <w:rsid w:val="00CD38D1"/>
    <w:rsid w:val="00CE2744"/>
    <w:rsid w:val="00D0498F"/>
    <w:rsid w:val="00D077B4"/>
    <w:rsid w:val="00D14974"/>
    <w:rsid w:val="00D30CDC"/>
    <w:rsid w:val="00D31244"/>
    <w:rsid w:val="00D43A43"/>
    <w:rsid w:val="00D45156"/>
    <w:rsid w:val="00D74D4F"/>
    <w:rsid w:val="00D95330"/>
    <w:rsid w:val="00D96E84"/>
    <w:rsid w:val="00DC6C61"/>
    <w:rsid w:val="00DD78A1"/>
    <w:rsid w:val="00EA6FD9"/>
    <w:rsid w:val="00EC2BFD"/>
    <w:rsid w:val="00EC4908"/>
    <w:rsid w:val="00EC5587"/>
    <w:rsid w:val="00F063D0"/>
    <w:rsid w:val="00F2112C"/>
    <w:rsid w:val="00F376EF"/>
    <w:rsid w:val="00F403AC"/>
    <w:rsid w:val="00F41DB0"/>
    <w:rsid w:val="00F743EC"/>
    <w:rsid w:val="00F75098"/>
    <w:rsid w:val="00F75CF8"/>
    <w:rsid w:val="00F8695F"/>
    <w:rsid w:val="00FA16DF"/>
    <w:rsid w:val="00FB3DF8"/>
    <w:rsid w:val="00FF0F96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E3C3DAB5-4A8A-414F-A76C-835142D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615"/>
  </w:style>
  <w:style w:type="paragraph" w:styleId="Titre1">
    <w:name w:val="heading 1"/>
    <w:basedOn w:val="Normal"/>
    <w:next w:val="Normal"/>
    <w:link w:val="Titre1Car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EA6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551E4A"/>
    <w:pPr>
      <w:keepNext/>
      <w:tabs>
        <w:tab w:val="num" w:pos="0"/>
      </w:tabs>
      <w:suppressAutoHyphens/>
      <w:ind w:left="-720"/>
      <w:outlineLvl w:val="3"/>
    </w:pPr>
    <w:rPr>
      <w:rFonts w:ascii="Times New Roman" w:eastAsia="Times New Roman" w:hAnsi="Times New Roman" w:cs="Times New Roman"/>
      <w:i/>
      <w:iCs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paragraph" w:customStyle="1" w:styleId="EndNoteBibliographyTitle">
    <w:name w:val="EndNote Bibliography Title"/>
    <w:basedOn w:val="Normal"/>
    <w:link w:val="EndNoteBibliographyTitleCar"/>
    <w:rsid w:val="00EA6FD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A6FD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EA6FD9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EA6FD9"/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A6FD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ibliographie">
    <w:name w:val="bibliographie"/>
    <w:basedOn w:val="Normal"/>
    <w:qFormat/>
    <w:rsid w:val="00C97615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paragraph" w:customStyle="1" w:styleId="Listepersonnellepuces">
    <w:name w:val="Liste personnelle à puces"/>
    <w:basedOn w:val="Paragraphedeliste"/>
    <w:qFormat/>
    <w:rsid w:val="00551E4A"/>
    <w:pPr>
      <w:numPr>
        <w:numId w:val="10"/>
      </w:numPr>
      <w:ind w:left="709" w:hanging="218"/>
    </w:pPr>
    <w:rPr>
      <w:rFonts w:ascii="Arial" w:hAnsi="Arial" w:cs="Arial"/>
      <w:lang w:val="en-GB"/>
    </w:rPr>
  </w:style>
  <w:style w:type="character" w:customStyle="1" w:styleId="Titre4Car">
    <w:name w:val="Titre 4 Car"/>
    <w:basedOn w:val="Policepardfaut"/>
    <w:link w:val="Titre4"/>
    <w:rsid w:val="00551E4A"/>
    <w:rPr>
      <w:rFonts w:ascii="Times New Roman" w:eastAsia="Times New Roman" w:hAnsi="Times New Roman" w:cs="Times New Roman"/>
      <w:i/>
      <w:i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queguiner@mio.osupythea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e.leblanc@univ-amu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rine.leblanc@univ-amu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grid.obernosterer@obs-banyuls.f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81DCE0-6E74-6A48-A5EA-C18157B2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11</cp:revision>
  <dcterms:created xsi:type="dcterms:W3CDTF">2018-05-15T07:26:00Z</dcterms:created>
  <dcterms:modified xsi:type="dcterms:W3CDTF">2018-06-27T11:16:00Z</dcterms:modified>
</cp:coreProperties>
</file>