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2B" w:rsidRPr="00690084" w:rsidRDefault="00DF372B" w:rsidP="00DF372B">
      <w:pPr>
        <w:rPr>
          <w:rFonts w:ascii="Arial" w:hAnsi="Arial" w:cs="Arial"/>
          <w:b/>
          <w:color w:val="0070C0"/>
          <w:lang w:val="en-US"/>
        </w:rPr>
      </w:pPr>
      <w:bookmarkStart w:id="0" w:name="_GoBack"/>
      <w:bookmarkEnd w:id="0"/>
      <w:r w:rsidRPr="00DD78A1">
        <w:rPr>
          <w:rFonts w:ascii="Arial" w:hAnsi="Arial" w:cs="Arial"/>
          <w:lang w:val="en-US"/>
        </w:rPr>
        <w:t xml:space="preserve">Dataset name: </w:t>
      </w:r>
      <w:r>
        <w:rPr>
          <w:rFonts w:ascii="Arial" w:hAnsi="Arial" w:cs="Arial"/>
          <w:b/>
          <w:color w:val="306FBB"/>
          <w:lang w:val="en-US"/>
        </w:rPr>
        <w:t>Diatom growth rates</w:t>
      </w:r>
    </w:p>
    <w:p w:rsidR="00DF372B" w:rsidRDefault="00DF372B" w:rsidP="00DF372B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A40EE8" w:rsidRPr="00AC229C" w:rsidTr="00012C65">
        <w:tc>
          <w:tcPr>
            <w:tcW w:w="1555" w:type="dxa"/>
          </w:tcPr>
          <w:p w:rsidR="00DF372B" w:rsidRPr="00A40EE8" w:rsidRDefault="00DF372B" w:rsidP="00012C65">
            <w:pPr>
              <w:spacing w:before="60"/>
              <w:rPr>
                <w:rFonts w:ascii="Arial" w:hAnsi="Arial" w:cs="Arial"/>
                <w:lang w:val="en-US"/>
              </w:rPr>
            </w:pPr>
            <w:r w:rsidRPr="00A40EE8">
              <w:rPr>
                <w:rFonts w:ascii="Arial" w:hAnsi="Arial" w:cs="Arial"/>
                <w:lang w:val="en-US"/>
              </w:rPr>
              <w:t>Parameters:</w:t>
            </w:r>
          </w:p>
          <w:p w:rsidR="00DF372B" w:rsidRPr="00A40EE8" w:rsidRDefault="00DF372B" w:rsidP="00012C65">
            <w:pPr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7654" w:type="dxa"/>
          </w:tcPr>
          <w:p w:rsidR="00DF372B" w:rsidRPr="00A40EE8" w:rsidRDefault="00DF372B" w:rsidP="00DF372B">
            <w:pPr>
              <w:pStyle w:val="Paragraphedeliste"/>
              <w:numPr>
                <w:ilvl w:val="0"/>
                <w:numId w:val="3"/>
              </w:numPr>
              <w:spacing w:before="60"/>
              <w:contextualSpacing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A40EE8">
              <w:rPr>
                <w:rFonts w:ascii="Arial" w:hAnsi="Arial" w:cs="Arial"/>
                <w:b/>
                <w:color w:val="0070C0"/>
                <w:lang w:val="en-US"/>
              </w:rPr>
              <w:t>Diatom taxon–specific growth rates</w:t>
            </w:r>
          </w:p>
        </w:tc>
      </w:tr>
    </w:tbl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9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690084" w:rsidRDefault="00DD78A1" w:rsidP="00DD78A1">
      <w:pPr>
        <w:ind w:left="2410" w:hanging="2410"/>
        <w:rPr>
          <w:rFonts w:ascii="Arial" w:hAnsi="Arial" w:cs="Arial"/>
          <w:lang w:val="en-US"/>
        </w:rPr>
      </w:pPr>
      <w:r w:rsidRPr="00690084">
        <w:rPr>
          <w:rFonts w:ascii="Arial" w:hAnsi="Arial" w:cs="Arial"/>
          <w:lang w:val="en-US"/>
        </w:rPr>
        <w:t>Parameter supervisor:</w:t>
      </w:r>
      <w:r w:rsidRPr="00690084">
        <w:rPr>
          <w:rFonts w:ascii="Arial" w:hAnsi="Arial" w:cs="Arial"/>
          <w:lang w:val="en-US"/>
        </w:rPr>
        <w:tab/>
      </w:r>
      <w:r w:rsidR="00690084" w:rsidRPr="00690084">
        <w:rPr>
          <w:rFonts w:ascii="Arial" w:eastAsia="Arial Unicode MS" w:hAnsi="Arial" w:cs="Arial"/>
          <w:b/>
          <w:color w:val="0070C0"/>
          <w:lang w:val="en-US"/>
        </w:rPr>
        <w:t>Karine Leblanc</w:t>
      </w:r>
    </w:p>
    <w:p w:rsidR="00690084" w:rsidRPr="00C25ADF" w:rsidRDefault="00690084" w:rsidP="00690084">
      <w:pPr>
        <w:ind w:left="2410"/>
        <w:rPr>
          <w:rFonts w:ascii="Arial" w:eastAsia="Arial Unicode MS" w:hAnsi="Arial" w:cs="Arial"/>
          <w:lang w:val="en-US"/>
        </w:rPr>
      </w:pPr>
      <w:r w:rsidRPr="00C25ADF">
        <w:rPr>
          <w:rFonts w:ascii="Arial" w:eastAsia="Arial Unicode MS" w:hAnsi="Arial" w:cs="Arial"/>
          <w:lang w:val="en-US"/>
        </w:rPr>
        <w:t>Mediterranean Institute of Oceanolography</w:t>
      </w:r>
    </w:p>
    <w:p w:rsidR="00690084" w:rsidRP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Institut Pytheas - Observatoire des Sciences de l'Univers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Bâtiment OCEANO</w:t>
      </w:r>
      <w:r>
        <w:rPr>
          <w:rFonts w:ascii="Arial" w:eastAsia="Arial Unicode MS" w:hAnsi="Arial" w:cs="Arial"/>
        </w:rPr>
        <w:t>MED, Campus de Luminy, case 901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 xml:space="preserve">13288 Marseille Cedex 09, </w:t>
      </w:r>
      <w:r>
        <w:rPr>
          <w:rFonts w:ascii="Arial" w:eastAsia="Arial Unicode MS" w:hAnsi="Arial" w:cs="Arial"/>
        </w:rPr>
        <w:t>France</w:t>
      </w:r>
    </w:p>
    <w:p w:rsidR="00690084" w:rsidRDefault="00DD78A1" w:rsidP="00DD78A1">
      <w:pPr>
        <w:ind w:left="2410"/>
      </w:pPr>
      <w:r w:rsidRPr="00AC1DA0">
        <w:rPr>
          <w:rFonts w:ascii="Arial" w:eastAsia="Arial Unicode MS" w:hAnsi="Arial" w:cs="Arial"/>
        </w:rPr>
        <w:t>+33 (0)</w:t>
      </w:r>
      <w:r w:rsidR="00690084">
        <w:rPr>
          <w:rFonts w:ascii="Arial" w:eastAsia="Arial Unicode MS" w:hAnsi="Arial" w:cs="Arial"/>
        </w:rPr>
        <w:t>4</w:t>
      </w:r>
      <w:r w:rsidR="002A5510" w:rsidRPr="002A5510">
        <w:rPr>
          <w:rFonts w:ascii="Arial" w:eastAsia="Arial Unicode MS" w:hAnsi="Arial" w:cs="Arial"/>
        </w:rPr>
        <w:t xml:space="preserve"> </w:t>
      </w:r>
      <w:r w:rsidR="00690084">
        <w:rPr>
          <w:rFonts w:ascii="Arial" w:eastAsia="Arial Unicode MS" w:hAnsi="Arial" w:cs="Arial"/>
        </w:rPr>
        <w:t>86 09 05 72</w:t>
      </w:r>
    </w:p>
    <w:p w:rsidR="00690084" w:rsidRDefault="00012C65" w:rsidP="00DD78A1">
      <w:pPr>
        <w:ind w:left="2410"/>
        <w:rPr>
          <w:rFonts w:ascii="Arial" w:eastAsia="Arial Unicode MS" w:hAnsi="Arial" w:cs="Arial"/>
        </w:rPr>
      </w:pPr>
      <w:hyperlink r:id="rId10" w:history="1">
        <w:r w:rsidR="00690084" w:rsidRPr="00AD3B21">
          <w:rPr>
            <w:rStyle w:val="Lienhypertexte"/>
            <w:rFonts w:ascii="Arial" w:eastAsia="Arial Unicode MS" w:hAnsi="Arial" w:cs="Arial"/>
          </w:rPr>
          <w:t>karine.leblanc@univ-amu.fr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690084" w:rsidRPr="00C25ADF" w:rsidRDefault="00DD78A1" w:rsidP="00690084">
      <w:pPr>
        <w:ind w:left="2410" w:hanging="2410"/>
        <w:rPr>
          <w:rFonts w:ascii="Arial" w:hAnsi="Arial" w:cs="Arial"/>
        </w:rPr>
      </w:pPr>
      <w:r w:rsidRPr="00C25ADF">
        <w:rPr>
          <w:rFonts w:ascii="Arial" w:hAnsi="Arial" w:cs="Arial"/>
        </w:rPr>
        <w:t>Dataset contact:</w:t>
      </w:r>
      <w:r w:rsidRPr="00C25ADF">
        <w:rPr>
          <w:rFonts w:ascii="Arial" w:hAnsi="Arial" w:cs="Arial"/>
        </w:rPr>
        <w:tab/>
      </w:r>
      <w:r w:rsidR="00690084" w:rsidRPr="00C25ADF">
        <w:rPr>
          <w:rFonts w:ascii="Arial" w:eastAsia="Arial Unicode MS" w:hAnsi="Arial" w:cs="Arial"/>
          <w:b/>
          <w:color w:val="0070C0"/>
        </w:rPr>
        <w:t>Karine Leblanc</w:t>
      </w:r>
    </w:p>
    <w:p w:rsidR="00690084" w:rsidRPr="00C25ADF" w:rsidRDefault="00690084" w:rsidP="00690084">
      <w:pPr>
        <w:ind w:left="2410"/>
        <w:rPr>
          <w:rFonts w:ascii="Arial" w:eastAsia="Arial Unicode MS" w:hAnsi="Arial" w:cs="Arial"/>
        </w:rPr>
      </w:pPr>
      <w:r w:rsidRPr="00C25ADF">
        <w:rPr>
          <w:rFonts w:ascii="Arial" w:eastAsia="Arial Unicode MS" w:hAnsi="Arial" w:cs="Arial"/>
        </w:rPr>
        <w:t>Mediterranean Institute of Oceanolography</w:t>
      </w:r>
    </w:p>
    <w:p w:rsidR="00690084" w:rsidRP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Institut Pytheas - Observatoire des Sciences de l'Univers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>Bâtiment OCEANO</w:t>
      </w:r>
      <w:r>
        <w:rPr>
          <w:rFonts w:ascii="Arial" w:eastAsia="Arial Unicode MS" w:hAnsi="Arial" w:cs="Arial"/>
        </w:rPr>
        <w:t>MED, Campus de Luminy, case 901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690084">
        <w:rPr>
          <w:rFonts w:ascii="Arial" w:eastAsia="Arial Unicode MS" w:hAnsi="Arial" w:cs="Arial"/>
        </w:rPr>
        <w:t xml:space="preserve">13288 Marseille Cedex 09, </w:t>
      </w:r>
      <w:r>
        <w:rPr>
          <w:rFonts w:ascii="Arial" w:eastAsia="Arial Unicode MS" w:hAnsi="Arial" w:cs="Arial"/>
        </w:rPr>
        <w:t>France</w:t>
      </w:r>
    </w:p>
    <w:p w:rsidR="00690084" w:rsidRDefault="00690084" w:rsidP="00690084">
      <w:pPr>
        <w:ind w:left="2410"/>
        <w:rPr>
          <w:rFonts w:ascii="Arial" w:eastAsia="Arial Unicode MS" w:hAnsi="Arial" w:cs="Arial"/>
        </w:rPr>
      </w:pPr>
      <w:r w:rsidRPr="00AC1DA0">
        <w:rPr>
          <w:rFonts w:ascii="Arial" w:eastAsia="Arial Unicode MS" w:hAnsi="Arial" w:cs="Arial"/>
        </w:rPr>
        <w:t>+33 (0)</w:t>
      </w:r>
      <w:r>
        <w:rPr>
          <w:rFonts w:ascii="Arial" w:eastAsia="Arial Unicode MS" w:hAnsi="Arial" w:cs="Arial"/>
        </w:rPr>
        <w:t>4</w:t>
      </w:r>
      <w:r w:rsidRPr="002A551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86 09 05 72</w:t>
      </w:r>
    </w:p>
    <w:p w:rsidR="007E0A45" w:rsidRPr="00EC5587" w:rsidRDefault="00012C65" w:rsidP="00690084">
      <w:pPr>
        <w:ind w:left="2410"/>
        <w:rPr>
          <w:rFonts w:ascii="Arial" w:eastAsia="Arial Unicode MS" w:hAnsi="Arial" w:cs="Arial"/>
          <w:lang w:val="en-US"/>
        </w:rPr>
      </w:pPr>
      <w:hyperlink r:id="rId11" w:history="1">
        <w:r w:rsidR="00690084" w:rsidRPr="00AD3B21">
          <w:rPr>
            <w:rStyle w:val="Lienhypertexte"/>
            <w:rFonts w:ascii="Arial" w:eastAsia="Arial Unicode MS" w:hAnsi="Arial" w:cs="Arial"/>
          </w:rPr>
          <w:t>karine.leblanc@univ-amu.fr</w:t>
        </w:r>
      </w:hyperlink>
    </w:p>
    <w:p w:rsidR="00DD78A1" w:rsidRPr="002F5641" w:rsidRDefault="002F5641" w:rsidP="007E0A45">
      <w:pPr>
        <w:pStyle w:val="Titre1"/>
        <w:pageBreakBefore/>
        <w:ind w:left="357" w:hanging="357"/>
        <w:rPr>
          <w:lang w:val="en-US"/>
        </w:rPr>
      </w:pPr>
      <w:r w:rsidRPr="002F5641">
        <w:rPr>
          <w:lang w:val="en-US"/>
        </w:rPr>
        <w:lastRenderedPageBreak/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BB35AC" w:rsidRPr="00A40EE8" w:rsidRDefault="00BB35AC" w:rsidP="00BB35AC">
      <w:pPr>
        <w:pStyle w:val="Paragraphestandard"/>
      </w:pPr>
      <w:r w:rsidRPr="00A40EE8">
        <w:rPr>
          <w:rFonts w:cs="Arial"/>
          <w:lang w:eastAsia="fr-FR"/>
        </w:rPr>
        <w:t xml:space="preserve">Seawater samples were collected from </w:t>
      </w:r>
      <w:r w:rsidRPr="00A40EE8">
        <w:t xml:space="preserve">rosette bottles during CTD casts (usually </w:t>
      </w:r>
      <w:r w:rsidR="00B51C9C" w:rsidRPr="00A40EE8">
        <w:t>10</w:t>
      </w:r>
      <w:r w:rsidRPr="00A40EE8">
        <w:t xml:space="preserve"> depths between 0–200 m, see Table 1 below).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7E3A9F" w:rsidRDefault="007E3A9F" w:rsidP="007E3A9F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Sampli</w:t>
      </w:r>
      <w:r w:rsidR="009A7F58">
        <w:rPr>
          <w:b/>
          <w:lang w:val="en-US"/>
        </w:rPr>
        <w:t>ng</w:t>
      </w:r>
      <w:r>
        <w:rPr>
          <w:b/>
          <w:lang w:val="en-US"/>
        </w:rPr>
        <w:t xml:space="preserve"> operations for </w:t>
      </w:r>
      <w:r w:rsidR="00E9681B">
        <w:rPr>
          <w:b/>
          <w:lang w:val="en-US"/>
        </w:rPr>
        <w:t xml:space="preserve">diatom </w:t>
      </w:r>
      <w:r w:rsidR="00DF372B">
        <w:rPr>
          <w:b/>
          <w:lang w:val="en-US"/>
        </w:rPr>
        <w:t>growth rates</w:t>
      </w:r>
    </w:p>
    <w:tbl>
      <w:tblPr>
        <w:tblW w:w="4354" w:type="dxa"/>
        <w:jc w:val="center"/>
        <w:tblBorders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320"/>
        <w:gridCol w:w="1657"/>
        <w:gridCol w:w="1377"/>
      </w:tblGrid>
      <w:tr w:rsidR="00926A7F" w:rsidTr="00926A7F">
        <w:trPr>
          <w:trHeight w:val="567"/>
          <w:jc w:val="center"/>
        </w:trPr>
        <w:tc>
          <w:tcPr>
            <w:tcW w:w="1320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Default="00926A7F" w:rsidP="00012C65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Station ID</w:t>
            </w:r>
          </w:p>
        </w:tc>
        <w:tc>
          <w:tcPr>
            <w:tcW w:w="1657" w:type="dxa"/>
            <w:tcBorders>
              <w:bottom w:val="single" w:sz="8" w:space="0" w:color="FFFFFF"/>
            </w:tcBorders>
            <w:shd w:val="clear" w:color="auto" w:fill="4F81BD"/>
            <w:vAlign w:val="center"/>
          </w:tcPr>
          <w:p w:rsidR="00926A7F" w:rsidRDefault="00926A7F" w:rsidP="00012C65">
            <w:pPr>
              <w:tabs>
                <w:tab w:val="left" w:pos="720"/>
              </w:tabs>
              <w:spacing w:line="240" w:lineRule="atLeast"/>
              <w:jc w:val="center"/>
              <w:outlineLvl w:val="0"/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Type of operation</w:t>
            </w:r>
          </w:p>
        </w:tc>
        <w:tc>
          <w:tcPr>
            <w:tcW w:w="1377" w:type="dxa"/>
            <w:tcBorders>
              <w:bottom w:val="single" w:sz="8" w:space="0" w:color="FFFFFF"/>
            </w:tcBorders>
            <w:shd w:val="clear" w:color="auto" w:fill="4F81BD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Default="00926A7F" w:rsidP="00012C65">
            <w:pPr>
              <w:tabs>
                <w:tab w:val="left" w:pos="720"/>
              </w:tabs>
              <w:spacing w:line="240" w:lineRule="atLeast"/>
              <w:jc w:val="center"/>
              <w:outlineLvl w:val="0"/>
            </w:pPr>
            <w:r>
              <w:rPr>
                <w:rFonts w:ascii="Calibri" w:eastAsia="Arial Unicode MS" w:hAnsi="Calibri" w:cs="Arial Unicode MS"/>
                <w:b/>
                <w:bCs/>
                <w:color w:val="FFFFFF"/>
                <w:sz w:val="20"/>
                <w:szCs w:val="20"/>
              </w:rPr>
              <w:t>Cast ID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1B2BBC" w:rsidRDefault="00926A7F" w:rsidP="00012C65">
            <w:pPr>
              <w:jc w:val="center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M2_1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CED7E7"/>
            <w:vAlign w:val="center"/>
          </w:tcPr>
          <w:p w:rsidR="00926A7F" w:rsidRPr="001B2BBC" w:rsidRDefault="00926A7F" w:rsidP="00012C65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1B2BBC" w:rsidRDefault="00926A7F" w:rsidP="00012C65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CTD_007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Default="00926A7F" w:rsidP="00B51C9C">
            <w:pPr>
              <w:jc w:val="center"/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M4_1</w:t>
            </w:r>
          </w:p>
        </w:tc>
        <w:tc>
          <w:tcPr>
            <w:tcW w:w="1657" w:type="dxa"/>
            <w:tcBorders>
              <w:top w:val="single" w:sz="8" w:space="0" w:color="FFFFFF"/>
            </w:tcBorders>
            <w:shd w:val="clear" w:color="auto" w:fill="E8ECF3"/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13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Default="00926A7F" w:rsidP="00B51C9C">
            <w:pPr>
              <w:jc w:val="center"/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M3</w:t>
            </w:r>
          </w:p>
        </w:tc>
        <w:tc>
          <w:tcPr>
            <w:tcW w:w="1657" w:type="dxa"/>
            <w:shd w:val="clear" w:color="auto" w:fill="CED7E7"/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23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M2_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30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795F95">
              <w:rPr>
                <w:rFonts w:ascii="Calibri" w:eastAsia="Arial Unicode MS" w:hAnsi="Calibri" w:cs="Arial Unicode MS"/>
                <w:sz w:val="20"/>
                <w:szCs w:val="20"/>
              </w:rPr>
              <w:t>M1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38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4_2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42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sz w:val="20"/>
                <w:szCs w:val="20"/>
              </w:rPr>
              <w:t>M2_3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E9681B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53</w:t>
            </w:r>
          </w:p>
        </w:tc>
      </w:tr>
      <w:tr w:rsidR="00926A7F" w:rsidRPr="001B2BBC" w:rsidTr="00926A7F">
        <w:tblPrEx>
          <w:shd w:val="clear" w:color="auto" w:fill="CED7E7"/>
        </w:tblPrEx>
        <w:trPr>
          <w:trHeight w:val="397"/>
          <w:jc w:val="center"/>
        </w:trPr>
        <w:tc>
          <w:tcPr>
            <w:tcW w:w="13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C668B6" w:rsidRDefault="00926A7F" w:rsidP="00B51C9C">
            <w:pPr>
              <w:jc w:val="center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E12D44">
              <w:rPr>
                <w:rFonts w:ascii="Calibri" w:eastAsia="Arial Unicode MS" w:hAnsi="Calibri" w:cs="Arial Unicode MS"/>
                <w:sz w:val="20"/>
                <w:szCs w:val="20"/>
              </w:rPr>
              <w:t>M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3_3</w:t>
            </w: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vAlign w:val="center"/>
          </w:tcPr>
          <w:p w:rsidR="00926A7F" w:rsidRPr="001B2BBC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CTD_Stock</w:t>
            </w:r>
          </w:p>
        </w:tc>
        <w:tc>
          <w:tcPr>
            <w:tcW w:w="1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6A7F" w:rsidRPr="00C668B6" w:rsidRDefault="00926A7F" w:rsidP="00B51C9C">
            <w:pPr>
              <w:tabs>
                <w:tab w:val="left" w:pos="720"/>
              </w:tabs>
              <w:jc w:val="center"/>
              <w:outlineLvl w:val="0"/>
              <w:rPr>
                <w:rFonts w:ascii="Calibri" w:eastAsia="Arial Unicode MS" w:hAnsi="Calibri" w:cs="Arial Unicode MS"/>
                <w:sz w:val="20"/>
                <w:szCs w:val="20"/>
              </w:rPr>
            </w:pPr>
            <w:r w:rsidRPr="001B2BBC">
              <w:rPr>
                <w:rFonts w:ascii="Calibri" w:eastAsia="Arial Unicode MS" w:hAnsi="Calibri" w:cs="Arial Unicode MS"/>
                <w:sz w:val="20"/>
                <w:szCs w:val="20"/>
              </w:rPr>
              <w:t>CTD_0</w:t>
            </w:r>
            <w:r>
              <w:rPr>
                <w:rFonts w:ascii="Calibri" w:eastAsia="Arial Unicode MS" w:hAnsi="Calibri" w:cs="Arial Unicode MS"/>
                <w:sz w:val="20"/>
                <w:szCs w:val="20"/>
              </w:rPr>
              <w:t>61</w:t>
            </w:r>
          </w:p>
        </w:tc>
      </w:tr>
    </w:tbl>
    <w:p w:rsidR="00B51C9C" w:rsidRPr="00EC4908" w:rsidRDefault="00B51C9C" w:rsidP="007E3A9F">
      <w:pPr>
        <w:spacing w:before="120" w:after="120"/>
        <w:jc w:val="center"/>
        <w:rPr>
          <w:b/>
          <w:lang w:val="en-US"/>
        </w:rPr>
      </w:pPr>
    </w:p>
    <w:p w:rsidR="00CE2744" w:rsidRPr="00B36081" w:rsidRDefault="0035228D" w:rsidP="00B51C9C">
      <w:pPr>
        <w:pStyle w:val="Titre1"/>
        <w:ind w:left="357" w:hanging="357"/>
        <w:rPr>
          <w:lang w:val="en-US"/>
        </w:rPr>
      </w:pPr>
      <w:r w:rsidRPr="00B36081">
        <w:rPr>
          <w:lang w:val="en-US"/>
        </w:rPr>
        <w:t>INSTRUMENTS</w:t>
      </w:r>
    </w:p>
    <w:p w:rsidR="00D5674E" w:rsidRPr="00A40EE8" w:rsidRDefault="00D5674E" w:rsidP="00D5674E">
      <w:pPr>
        <w:pStyle w:val="Paragraphestandard"/>
        <w:ind w:left="2410" w:hanging="1985"/>
      </w:pPr>
      <w:r w:rsidRPr="00A40EE8">
        <w:t>Instrument Type:</w:t>
      </w:r>
      <w:r w:rsidRPr="00A40EE8">
        <w:tab/>
      </w:r>
      <w:r w:rsidRPr="00A40EE8">
        <w:rPr>
          <w:b/>
        </w:rPr>
        <w:t>Inverted epifluorescence microscope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Manufacturer:</w:t>
      </w:r>
      <w:r w:rsidRPr="00A40EE8">
        <w:tab/>
      </w:r>
      <w:r w:rsidRPr="00A40EE8">
        <w:rPr>
          <w:b/>
        </w:rPr>
        <w:t>Nikon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Model:</w:t>
      </w:r>
      <w:r w:rsidRPr="00A40EE8">
        <w:tab/>
      </w:r>
      <w:r w:rsidRPr="00A40EE8">
        <w:rPr>
          <w:b/>
        </w:rPr>
        <w:t>TE–200</w:t>
      </w:r>
    </w:p>
    <w:p w:rsidR="00D5674E" w:rsidRPr="00A40EE8" w:rsidRDefault="00D5674E" w:rsidP="00D5674E">
      <w:pPr>
        <w:pStyle w:val="Paragraphestandard"/>
        <w:spacing w:before="0"/>
        <w:rPr>
          <w:b/>
        </w:rPr>
      </w:pPr>
      <w:r w:rsidRPr="00A40EE8">
        <w:t xml:space="preserve">Instrument Features / Calibration: </w:t>
      </w:r>
      <w:r w:rsidRPr="00A40EE8">
        <w:rPr>
          <w:b/>
        </w:rPr>
        <w:t>N/A</w:t>
      </w:r>
    </w:p>
    <w:p w:rsidR="00D5674E" w:rsidRPr="00A40EE8" w:rsidRDefault="00D5674E" w:rsidP="00D5674E">
      <w:pPr>
        <w:pStyle w:val="Paragraphestandard"/>
        <w:ind w:left="2410" w:hanging="1985"/>
      </w:pPr>
      <w:r w:rsidRPr="00A40EE8">
        <w:t>Instrument Type:</w:t>
      </w:r>
      <w:r w:rsidRPr="00A40EE8">
        <w:tab/>
      </w:r>
      <w:r w:rsidRPr="00A40EE8">
        <w:rPr>
          <w:b/>
        </w:rPr>
        <w:t>Inverted epifluorescence microscope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Manufacturer:</w:t>
      </w:r>
      <w:r w:rsidRPr="00A40EE8">
        <w:tab/>
      </w:r>
      <w:r w:rsidRPr="00A40EE8">
        <w:rPr>
          <w:b/>
        </w:rPr>
        <w:t>Zeiss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Model:</w:t>
      </w:r>
      <w:r w:rsidRPr="00A40EE8">
        <w:tab/>
      </w:r>
      <w:r w:rsidRPr="00A40EE8">
        <w:rPr>
          <w:b/>
        </w:rPr>
        <w:t>Primovert</w:t>
      </w:r>
    </w:p>
    <w:p w:rsidR="00D5674E" w:rsidRPr="00A40EE8" w:rsidRDefault="00D5674E" w:rsidP="00D5674E">
      <w:pPr>
        <w:pStyle w:val="Paragraphestandard"/>
        <w:spacing w:before="0"/>
        <w:rPr>
          <w:b/>
        </w:rPr>
      </w:pPr>
      <w:r w:rsidRPr="00A40EE8">
        <w:t xml:space="preserve">Instrument Features / Calibration: </w:t>
      </w:r>
      <w:r w:rsidRPr="00A40EE8">
        <w:rPr>
          <w:b/>
        </w:rPr>
        <w:t>N/A</w:t>
      </w:r>
    </w:p>
    <w:p w:rsidR="00D5674E" w:rsidRPr="00A40EE8" w:rsidRDefault="00D5674E" w:rsidP="00D5674E">
      <w:pPr>
        <w:pStyle w:val="Paragraphestandard"/>
        <w:ind w:left="2410" w:hanging="1985"/>
      </w:pPr>
      <w:r w:rsidRPr="00A40EE8">
        <w:t>Instrument Type:</w:t>
      </w:r>
      <w:r w:rsidRPr="00A40EE8">
        <w:tab/>
      </w:r>
      <w:r w:rsidRPr="00A40EE8">
        <w:rPr>
          <w:b/>
        </w:rPr>
        <w:t>Straight epifluorescence microscope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Manufacturer:</w:t>
      </w:r>
      <w:r w:rsidRPr="00A40EE8">
        <w:tab/>
      </w:r>
      <w:r w:rsidRPr="00A40EE8">
        <w:rPr>
          <w:b/>
        </w:rPr>
        <w:t>Zeiss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Model:</w:t>
      </w:r>
      <w:r w:rsidRPr="00A40EE8">
        <w:tab/>
      </w:r>
      <w:r w:rsidRPr="00A40EE8">
        <w:rPr>
          <w:b/>
        </w:rPr>
        <w:t>Axio Imager</w:t>
      </w:r>
    </w:p>
    <w:p w:rsidR="00D5674E" w:rsidRPr="00A40EE8" w:rsidRDefault="00D5674E" w:rsidP="00D5674E">
      <w:pPr>
        <w:pStyle w:val="Paragraphestandard"/>
        <w:spacing w:before="0"/>
        <w:rPr>
          <w:b/>
        </w:rPr>
      </w:pPr>
      <w:r w:rsidRPr="00A40EE8">
        <w:t xml:space="preserve">Instrument Features / Calibration: </w:t>
      </w:r>
      <w:r w:rsidRPr="00A40EE8">
        <w:rPr>
          <w:b/>
        </w:rPr>
        <w:t>N/A</w:t>
      </w:r>
    </w:p>
    <w:p w:rsidR="00D5674E" w:rsidRPr="00A40EE8" w:rsidRDefault="00D5674E" w:rsidP="00D5674E">
      <w:pPr>
        <w:pStyle w:val="Paragraphestandard"/>
        <w:ind w:left="2410" w:hanging="1985"/>
      </w:pPr>
      <w:r w:rsidRPr="00A40EE8">
        <w:t>Instrument Type:</w:t>
      </w:r>
      <w:r w:rsidRPr="00A40EE8">
        <w:tab/>
      </w:r>
      <w:r w:rsidRPr="00A40EE8">
        <w:rPr>
          <w:b/>
        </w:rPr>
        <w:t>Inverted microscopes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Manufacturer:</w:t>
      </w:r>
      <w:r w:rsidRPr="00A40EE8">
        <w:tab/>
      </w:r>
      <w:r w:rsidRPr="00A40EE8">
        <w:rPr>
          <w:b/>
        </w:rPr>
        <w:t>Zeiss</w:t>
      </w:r>
    </w:p>
    <w:p w:rsidR="00D5674E" w:rsidRPr="00A40EE8" w:rsidRDefault="00D5674E" w:rsidP="00D5674E">
      <w:pPr>
        <w:pStyle w:val="Paragraphestandard"/>
        <w:spacing w:before="0"/>
        <w:ind w:left="2410" w:hanging="1985"/>
      </w:pPr>
      <w:r w:rsidRPr="00A40EE8">
        <w:t>Model:</w:t>
      </w:r>
      <w:r w:rsidRPr="00A40EE8">
        <w:tab/>
      </w:r>
      <w:r w:rsidRPr="00A40EE8">
        <w:rPr>
          <w:b/>
        </w:rPr>
        <w:t>Axio Vert</w:t>
      </w:r>
    </w:p>
    <w:p w:rsidR="00D5674E" w:rsidRPr="00A40EE8" w:rsidRDefault="00D5674E" w:rsidP="00D5674E">
      <w:pPr>
        <w:pStyle w:val="Paragraphestandard"/>
        <w:spacing w:before="0"/>
        <w:rPr>
          <w:b/>
        </w:rPr>
      </w:pPr>
      <w:r w:rsidRPr="00A40EE8">
        <w:t xml:space="preserve">Instrument Features / Calibration: </w:t>
      </w:r>
      <w:r w:rsidRPr="00A40EE8"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lastRenderedPageBreak/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DF07D7" w:rsidRDefault="00DF372B" w:rsidP="003C55D5">
      <w:pPr>
        <w:pStyle w:val="Paragraphestandard"/>
        <w:rPr>
          <w:rFonts w:cs="Arial"/>
          <w:lang w:eastAsia="fr-FR"/>
        </w:rPr>
      </w:pPr>
      <w:r w:rsidRPr="00490CF3">
        <w:rPr>
          <w:rFonts w:cs="Arial"/>
          <w:lang w:eastAsia="fr-FR"/>
        </w:rPr>
        <w:t xml:space="preserve">From PDMPO samples from the CTD stock, </w:t>
      </w:r>
      <w:r w:rsidR="00435768">
        <w:rPr>
          <w:rFonts w:cs="Arial"/>
          <w:lang w:eastAsia="fr-FR"/>
        </w:rPr>
        <w:t xml:space="preserve">incubated in on–deck incubators, </w:t>
      </w:r>
      <w:r w:rsidRPr="00490CF3">
        <w:rPr>
          <w:rFonts w:cs="Arial"/>
          <w:lang w:eastAsia="fr-FR"/>
        </w:rPr>
        <w:t>subsample</w:t>
      </w:r>
      <w:r w:rsidR="00435768">
        <w:rPr>
          <w:rFonts w:cs="Arial"/>
          <w:lang w:eastAsia="fr-FR"/>
        </w:rPr>
        <w:t>s</w:t>
      </w:r>
      <w:r w:rsidRPr="00490CF3">
        <w:rPr>
          <w:rFonts w:cs="Arial"/>
          <w:lang w:eastAsia="fr-FR"/>
        </w:rPr>
        <w:t xml:space="preserve"> of 125 m</w:t>
      </w:r>
      <w:r>
        <w:rPr>
          <w:rFonts w:cs="Arial"/>
          <w:lang w:eastAsia="fr-FR"/>
        </w:rPr>
        <w:t>L</w:t>
      </w:r>
      <w:r w:rsidRPr="00490CF3">
        <w:rPr>
          <w:rFonts w:cs="Arial"/>
          <w:lang w:eastAsia="fr-FR"/>
        </w:rPr>
        <w:t xml:space="preserve"> at T</w:t>
      </w:r>
      <w:r w:rsidRPr="00DF372B">
        <w:rPr>
          <w:rFonts w:cs="Arial"/>
          <w:vertAlign w:val="subscript"/>
          <w:lang w:eastAsia="fr-FR"/>
        </w:rPr>
        <w:t>24</w:t>
      </w:r>
      <w:r w:rsidRPr="00490CF3">
        <w:rPr>
          <w:rFonts w:cs="Arial"/>
          <w:lang w:eastAsia="fr-FR"/>
        </w:rPr>
        <w:t xml:space="preserve"> </w:t>
      </w:r>
      <w:r w:rsidR="00435768">
        <w:rPr>
          <w:rFonts w:cs="Arial"/>
          <w:lang w:eastAsia="fr-FR"/>
        </w:rPr>
        <w:t>were</w:t>
      </w:r>
      <w:r>
        <w:rPr>
          <w:rFonts w:cs="Arial"/>
          <w:lang w:eastAsia="fr-FR"/>
        </w:rPr>
        <w:t xml:space="preserve"> collected and fixed with Lugol</w:t>
      </w:r>
      <w:r w:rsidR="00DF07D7" w:rsidRPr="00490CF3">
        <w:rPr>
          <w:rFonts w:cs="Arial"/>
          <w:lang w:eastAsia="fr-FR"/>
        </w:rPr>
        <w:t>.</w:t>
      </w:r>
    </w:p>
    <w:p w:rsidR="00AE2BD6" w:rsidRDefault="00AE2BD6" w:rsidP="00977224">
      <w:pPr>
        <w:pStyle w:val="Titre2"/>
      </w:pPr>
      <w:r>
        <w:t>Analytical procedure</w:t>
      </w:r>
    </w:p>
    <w:p w:rsidR="00DF07D7" w:rsidRDefault="00DF07D7" w:rsidP="00D14DBE">
      <w:pPr>
        <w:pStyle w:val="Paragraphestandard"/>
        <w:rPr>
          <w:rFonts w:cs="Arial"/>
          <w:lang w:eastAsia="fr-FR"/>
        </w:rPr>
      </w:pPr>
      <w:r w:rsidRPr="00490CF3">
        <w:rPr>
          <w:rFonts w:cs="Arial"/>
          <w:lang w:eastAsia="fr-FR"/>
        </w:rPr>
        <w:t xml:space="preserve">At the laboratory, </w:t>
      </w:r>
      <w:r w:rsidR="00435768" w:rsidRPr="00490CF3">
        <w:rPr>
          <w:rFonts w:cs="Arial"/>
          <w:lang w:eastAsia="fr-FR"/>
        </w:rPr>
        <w:t>T</w:t>
      </w:r>
      <w:r w:rsidR="00435768" w:rsidRPr="00DF372B">
        <w:rPr>
          <w:rFonts w:cs="Arial"/>
          <w:vertAlign w:val="subscript"/>
          <w:lang w:eastAsia="fr-FR"/>
        </w:rPr>
        <w:t>24</w:t>
      </w:r>
      <w:r w:rsidR="00435768" w:rsidRPr="00490CF3">
        <w:rPr>
          <w:rFonts w:cs="Arial"/>
          <w:lang w:eastAsia="fr-FR"/>
        </w:rPr>
        <w:t xml:space="preserve"> </w:t>
      </w:r>
      <w:r w:rsidR="00DF372B">
        <w:rPr>
          <w:rFonts w:cs="Arial"/>
          <w:lang w:eastAsia="fr-FR"/>
        </w:rPr>
        <w:t>s</w:t>
      </w:r>
      <w:r w:rsidR="00DF372B" w:rsidRPr="00490CF3">
        <w:rPr>
          <w:rFonts w:cs="Arial"/>
          <w:lang w:eastAsia="fr-FR"/>
        </w:rPr>
        <w:t>amples will be counted and compared to T</w:t>
      </w:r>
      <w:r w:rsidR="00DF372B" w:rsidRPr="00DF372B">
        <w:rPr>
          <w:rFonts w:cs="Arial"/>
          <w:vertAlign w:val="subscript"/>
          <w:lang w:eastAsia="fr-FR"/>
        </w:rPr>
        <w:t>0</w:t>
      </w:r>
      <w:r w:rsidR="00DF372B" w:rsidRPr="00490CF3">
        <w:rPr>
          <w:rFonts w:cs="Arial"/>
          <w:lang w:eastAsia="fr-FR"/>
        </w:rPr>
        <w:t xml:space="preserve"> samples for net growth rate assessment per species.</w:t>
      </w:r>
    </w:p>
    <w:p w:rsidR="00AE2BD6" w:rsidRDefault="00AE2BD6" w:rsidP="003C55D5">
      <w:pPr>
        <w:pStyle w:val="Titre2"/>
      </w:pPr>
      <w:r>
        <w:t>Units</w:t>
      </w:r>
    </w:p>
    <w:p w:rsidR="00AC229C" w:rsidRPr="00AC229C" w:rsidRDefault="00AC229C" w:rsidP="00AC229C"/>
    <w:p w:rsidR="00375414" w:rsidRPr="00A40EE8" w:rsidRDefault="00DF372B" w:rsidP="00DF372B">
      <w:pPr>
        <w:pStyle w:val="Listepersonnellepuces"/>
      </w:pPr>
      <w:r w:rsidRPr="00A40EE8">
        <w:t xml:space="preserve">Diatom taxon–specific </w:t>
      </w:r>
      <w:r w:rsidR="0032480D" w:rsidRPr="00A40EE8">
        <w:t xml:space="preserve">net </w:t>
      </w:r>
      <w:r w:rsidRPr="00A40EE8">
        <w:t>growth rate</w:t>
      </w:r>
      <w:r w:rsidR="00375414" w:rsidRPr="00A40EE8">
        <w:tab/>
      </w:r>
      <w:r w:rsidRPr="00A40EE8">
        <w:t>d</w:t>
      </w:r>
      <w:r w:rsidRPr="00A40EE8">
        <w:rPr>
          <w:vertAlign w:val="superscript"/>
          <w:lang w:val="en-US"/>
        </w:rPr>
        <w:t>–1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BE10D1" w:rsidRDefault="003C55D5" w:rsidP="00BE10D1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551E4A" w:rsidRPr="00A40EE8" w:rsidRDefault="00DF07D7" w:rsidP="003C55D5">
      <w:pPr>
        <w:pStyle w:val="Paragraphestandard"/>
      </w:pPr>
      <w:r w:rsidRPr="00A40EE8">
        <w:t>December 201</w:t>
      </w:r>
      <w:r w:rsidR="00926A7F" w:rsidRPr="00A40EE8">
        <w:t>8</w:t>
      </w:r>
    </w:p>
    <w:p w:rsidR="00EA6FD9" w:rsidRPr="00C81AC5" w:rsidRDefault="00EA6FD9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EA6FD9" w:rsidRPr="00C81AC5" w:rsidSect="005B20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610" w:right="1418" w:bottom="863" w:left="1418" w:header="44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E1" w:rsidRDefault="009A78E1" w:rsidP="001400EB">
      <w:r>
        <w:separator/>
      </w:r>
    </w:p>
  </w:endnote>
  <w:endnote w:type="continuationSeparator" w:id="0">
    <w:p w:rsidR="009A78E1" w:rsidRDefault="009A78E1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48" w:rsidRDefault="005B20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48" w:rsidRDefault="005B20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48" w:rsidRDefault="005B20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E1" w:rsidRDefault="009A78E1" w:rsidP="001400EB">
      <w:r>
        <w:separator/>
      </w:r>
    </w:p>
  </w:footnote>
  <w:footnote w:type="continuationSeparator" w:id="0">
    <w:p w:rsidR="009A78E1" w:rsidRDefault="009A78E1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48" w:rsidRDefault="005B20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048" w:rsidRDefault="005B20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3526D1" w:rsidTr="00062451">
      <w:trPr>
        <w:trHeight w:val="867"/>
      </w:trPr>
      <w:tc>
        <w:tcPr>
          <w:tcW w:w="1287" w:type="dxa"/>
          <w:vAlign w:val="center"/>
        </w:tcPr>
        <w:p w:rsidR="003526D1" w:rsidRDefault="003526D1" w:rsidP="00751E33">
          <w:r>
            <w:rPr>
              <w:noProof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3526D1" w:rsidRPr="001400EB" w:rsidRDefault="003526D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3526D1" w:rsidRDefault="003526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92BB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AAE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C4B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EAE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3E9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D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A41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5E4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E3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B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lang w:val="en-US"/>
      </w:rPr>
    </w:lvl>
  </w:abstractNum>
  <w:abstractNum w:abstractNumId="12" w15:restartNumberingAfterBreak="0">
    <w:nsid w:val="04D353BE"/>
    <w:multiLevelType w:val="multilevel"/>
    <w:tmpl w:val="6DF02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2285F"/>
    <w:multiLevelType w:val="hybridMultilevel"/>
    <w:tmpl w:val="E50EC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A66B8"/>
    <w:multiLevelType w:val="hybridMultilevel"/>
    <w:tmpl w:val="BDB45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412B1"/>
    <w:multiLevelType w:val="hybridMultilevel"/>
    <w:tmpl w:val="13AC2932"/>
    <w:lvl w:ilvl="0" w:tplc="AF70CB00">
      <w:start w:val="1"/>
      <w:numFmt w:val="bullet"/>
      <w:pStyle w:val="Listepersonnellepuces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C8302BA"/>
    <w:multiLevelType w:val="hybridMultilevel"/>
    <w:tmpl w:val="6DF022E4"/>
    <w:lvl w:ilvl="0" w:tplc="1588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8"/>
  </w:num>
  <w:num w:numId="5">
    <w:abstractNumId w:val="17"/>
  </w:num>
  <w:num w:numId="6">
    <w:abstractNumId w:val="16"/>
  </w:num>
  <w:num w:numId="7">
    <w:abstractNumId w:val="20"/>
  </w:num>
  <w:num w:numId="8">
    <w:abstractNumId w:val="22"/>
  </w:num>
  <w:num w:numId="9">
    <w:abstractNumId w:val="12"/>
  </w:num>
  <w:num w:numId="10">
    <w:abstractNumId w:val="21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5526&lt;/item&gt;&lt;/record-ids&gt;&lt;/item&gt;&lt;/Libraries&gt;"/>
  </w:docVars>
  <w:rsids>
    <w:rsidRoot w:val="00590B44"/>
    <w:rsid w:val="00002978"/>
    <w:rsid w:val="00012C65"/>
    <w:rsid w:val="00035007"/>
    <w:rsid w:val="00040EA8"/>
    <w:rsid w:val="0005388D"/>
    <w:rsid w:val="00062451"/>
    <w:rsid w:val="00077751"/>
    <w:rsid w:val="00084C21"/>
    <w:rsid w:val="0008641A"/>
    <w:rsid w:val="00095DA6"/>
    <w:rsid w:val="000B083E"/>
    <w:rsid w:val="000B2A58"/>
    <w:rsid w:val="000F19F1"/>
    <w:rsid w:val="0012554A"/>
    <w:rsid w:val="00133178"/>
    <w:rsid w:val="001400EB"/>
    <w:rsid w:val="00141419"/>
    <w:rsid w:val="001462C4"/>
    <w:rsid w:val="001474C3"/>
    <w:rsid w:val="00165D0A"/>
    <w:rsid w:val="00181C71"/>
    <w:rsid w:val="0018775D"/>
    <w:rsid w:val="00191710"/>
    <w:rsid w:val="001B2BBC"/>
    <w:rsid w:val="001C4546"/>
    <w:rsid w:val="001D178F"/>
    <w:rsid w:val="001E3E77"/>
    <w:rsid w:val="001E5EB9"/>
    <w:rsid w:val="0021508C"/>
    <w:rsid w:val="00220EE6"/>
    <w:rsid w:val="00242833"/>
    <w:rsid w:val="00244880"/>
    <w:rsid w:val="002926AD"/>
    <w:rsid w:val="002A1FEC"/>
    <w:rsid w:val="002A5510"/>
    <w:rsid w:val="002C2625"/>
    <w:rsid w:val="002C359B"/>
    <w:rsid w:val="002F5641"/>
    <w:rsid w:val="0032480D"/>
    <w:rsid w:val="00347739"/>
    <w:rsid w:val="00350E25"/>
    <w:rsid w:val="0035228D"/>
    <w:rsid w:val="003526D1"/>
    <w:rsid w:val="00365DEF"/>
    <w:rsid w:val="0037350C"/>
    <w:rsid w:val="00374EFB"/>
    <w:rsid w:val="00375414"/>
    <w:rsid w:val="003C55D5"/>
    <w:rsid w:val="003D27F9"/>
    <w:rsid w:val="003F53AC"/>
    <w:rsid w:val="00435768"/>
    <w:rsid w:val="0043781B"/>
    <w:rsid w:val="0046243C"/>
    <w:rsid w:val="00485FD3"/>
    <w:rsid w:val="00496457"/>
    <w:rsid w:val="004D419C"/>
    <w:rsid w:val="004F1AEF"/>
    <w:rsid w:val="0050128E"/>
    <w:rsid w:val="00501EC4"/>
    <w:rsid w:val="00513493"/>
    <w:rsid w:val="005204CD"/>
    <w:rsid w:val="00551E4A"/>
    <w:rsid w:val="00552D4B"/>
    <w:rsid w:val="00590B44"/>
    <w:rsid w:val="005A6C46"/>
    <w:rsid w:val="005B2048"/>
    <w:rsid w:val="005C1FF8"/>
    <w:rsid w:val="005C3343"/>
    <w:rsid w:val="0060409C"/>
    <w:rsid w:val="00615AEB"/>
    <w:rsid w:val="0064095B"/>
    <w:rsid w:val="00644B19"/>
    <w:rsid w:val="00667154"/>
    <w:rsid w:val="00671FEB"/>
    <w:rsid w:val="00690084"/>
    <w:rsid w:val="006A7880"/>
    <w:rsid w:val="006C4DA4"/>
    <w:rsid w:val="006D2B5E"/>
    <w:rsid w:val="0073398B"/>
    <w:rsid w:val="00751E33"/>
    <w:rsid w:val="00784D76"/>
    <w:rsid w:val="007B1913"/>
    <w:rsid w:val="007E0A45"/>
    <w:rsid w:val="007E189B"/>
    <w:rsid w:val="007E3A9F"/>
    <w:rsid w:val="007F5B6C"/>
    <w:rsid w:val="00826084"/>
    <w:rsid w:val="00847BCE"/>
    <w:rsid w:val="00877D9C"/>
    <w:rsid w:val="0088539F"/>
    <w:rsid w:val="008913AE"/>
    <w:rsid w:val="008953A5"/>
    <w:rsid w:val="008D189C"/>
    <w:rsid w:val="008D224D"/>
    <w:rsid w:val="008F78F4"/>
    <w:rsid w:val="00900E02"/>
    <w:rsid w:val="0091497E"/>
    <w:rsid w:val="00926A7F"/>
    <w:rsid w:val="009718A8"/>
    <w:rsid w:val="00977224"/>
    <w:rsid w:val="009A78E1"/>
    <w:rsid w:val="009A7F58"/>
    <w:rsid w:val="009B1353"/>
    <w:rsid w:val="00A05E6D"/>
    <w:rsid w:val="00A13E49"/>
    <w:rsid w:val="00A229BA"/>
    <w:rsid w:val="00A40EE8"/>
    <w:rsid w:val="00A958F1"/>
    <w:rsid w:val="00AC1DA0"/>
    <w:rsid w:val="00AC229C"/>
    <w:rsid w:val="00AE2BD6"/>
    <w:rsid w:val="00AF5414"/>
    <w:rsid w:val="00AF766C"/>
    <w:rsid w:val="00B07E79"/>
    <w:rsid w:val="00B36081"/>
    <w:rsid w:val="00B51C9C"/>
    <w:rsid w:val="00B86033"/>
    <w:rsid w:val="00B95F85"/>
    <w:rsid w:val="00BB35AC"/>
    <w:rsid w:val="00BE10D1"/>
    <w:rsid w:val="00C049B3"/>
    <w:rsid w:val="00C25ADF"/>
    <w:rsid w:val="00C43865"/>
    <w:rsid w:val="00C54ED5"/>
    <w:rsid w:val="00C668B6"/>
    <w:rsid w:val="00C74C09"/>
    <w:rsid w:val="00C81AC5"/>
    <w:rsid w:val="00C84E7C"/>
    <w:rsid w:val="00C97615"/>
    <w:rsid w:val="00CA0C46"/>
    <w:rsid w:val="00CA6C51"/>
    <w:rsid w:val="00CC0D0B"/>
    <w:rsid w:val="00CD38D1"/>
    <w:rsid w:val="00CE2744"/>
    <w:rsid w:val="00D0498F"/>
    <w:rsid w:val="00D077B4"/>
    <w:rsid w:val="00D14974"/>
    <w:rsid w:val="00D14DBE"/>
    <w:rsid w:val="00D31244"/>
    <w:rsid w:val="00D43A43"/>
    <w:rsid w:val="00D45156"/>
    <w:rsid w:val="00D5674E"/>
    <w:rsid w:val="00D74D4F"/>
    <w:rsid w:val="00D95330"/>
    <w:rsid w:val="00D959F7"/>
    <w:rsid w:val="00D96E84"/>
    <w:rsid w:val="00DB1B89"/>
    <w:rsid w:val="00DC6C61"/>
    <w:rsid w:val="00DD78A1"/>
    <w:rsid w:val="00DF07D7"/>
    <w:rsid w:val="00DF372B"/>
    <w:rsid w:val="00E0670A"/>
    <w:rsid w:val="00E94049"/>
    <w:rsid w:val="00E9681B"/>
    <w:rsid w:val="00EA6FD9"/>
    <w:rsid w:val="00EC2BFD"/>
    <w:rsid w:val="00EC4908"/>
    <w:rsid w:val="00EC5587"/>
    <w:rsid w:val="00F063D0"/>
    <w:rsid w:val="00F2112C"/>
    <w:rsid w:val="00F376EF"/>
    <w:rsid w:val="00F403AC"/>
    <w:rsid w:val="00F41DB0"/>
    <w:rsid w:val="00F471F6"/>
    <w:rsid w:val="00F743EC"/>
    <w:rsid w:val="00F75098"/>
    <w:rsid w:val="00F75CF8"/>
    <w:rsid w:val="00F8695F"/>
    <w:rsid w:val="00FA16DF"/>
    <w:rsid w:val="00FB3DF8"/>
    <w:rsid w:val="00FB5388"/>
    <w:rsid w:val="00FF0F96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A7679DD0-1D4D-4241-9655-950C859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7615"/>
  </w:style>
  <w:style w:type="paragraph" w:styleId="Titre1">
    <w:name w:val="heading 1"/>
    <w:basedOn w:val="Normal"/>
    <w:next w:val="Normal"/>
    <w:link w:val="Titre1Car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nhideWhenUsed/>
    <w:qFormat/>
    <w:rsid w:val="00EA6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qFormat/>
    <w:rsid w:val="00551E4A"/>
    <w:pPr>
      <w:keepNext/>
      <w:tabs>
        <w:tab w:val="num" w:pos="0"/>
      </w:tabs>
      <w:suppressAutoHyphens/>
      <w:ind w:left="-720"/>
      <w:outlineLvl w:val="3"/>
    </w:pPr>
    <w:rPr>
      <w:rFonts w:ascii="Times New Roman" w:eastAsia="Times New Roman" w:hAnsi="Times New Roman" w:cs="Times New Roman"/>
      <w:i/>
      <w:iCs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character" w:customStyle="1" w:styleId="style8">
    <w:name w:val="style8"/>
    <w:basedOn w:val="Policepardfaut"/>
    <w:rsid w:val="00F063D0"/>
  </w:style>
  <w:style w:type="paragraph" w:customStyle="1" w:styleId="EndNoteBibliographyTitle">
    <w:name w:val="EndNote Bibliography Title"/>
    <w:basedOn w:val="Normal"/>
    <w:link w:val="EndNoteBibliographyTitleCar"/>
    <w:rsid w:val="00EA6FD9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EA6FD9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EA6FD9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EA6FD9"/>
    <w:rPr>
      <w:rFonts w:ascii="Calibri" w:hAnsi="Calibri" w:cs="Calibri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A6FD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ibliographie">
    <w:name w:val="bibliographie"/>
    <w:basedOn w:val="Normal"/>
    <w:qFormat/>
    <w:rsid w:val="00C97615"/>
    <w:pPr>
      <w:widowControl w:val="0"/>
      <w:ind w:left="993" w:hanging="993"/>
      <w:jc w:val="both"/>
    </w:pPr>
    <w:rPr>
      <w:rFonts w:ascii="Arial" w:hAnsi="Arial"/>
      <w:sz w:val="22"/>
      <w:szCs w:val="22"/>
      <w:lang w:val="en-US"/>
    </w:rPr>
  </w:style>
  <w:style w:type="paragraph" w:customStyle="1" w:styleId="Listepersonnellepuces">
    <w:name w:val="Liste personnelle à puces"/>
    <w:basedOn w:val="Paragraphedeliste"/>
    <w:qFormat/>
    <w:rsid w:val="00551E4A"/>
    <w:pPr>
      <w:numPr>
        <w:numId w:val="10"/>
      </w:numPr>
      <w:ind w:left="709" w:hanging="218"/>
    </w:pPr>
    <w:rPr>
      <w:rFonts w:ascii="Arial" w:hAnsi="Arial" w:cs="Arial"/>
      <w:lang w:val="en-GB"/>
    </w:rPr>
  </w:style>
  <w:style w:type="character" w:customStyle="1" w:styleId="Titre4Car">
    <w:name w:val="Titre 4 Car"/>
    <w:basedOn w:val="Policepardfaut"/>
    <w:link w:val="Titre4"/>
    <w:rsid w:val="00551E4A"/>
    <w:rPr>
      <w:rFonts w:ascii="Times New Roman" w:eastAsia="Times New Roman" w:hAnsi="Times New Roman" w:cs="Times New Roman"/>
      <w:i/>
      <w:iCs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81AC5"/>
    <w:pPr>
      <w:spacing w:before="100" w:beforeAutospacing="1" w:after="100" w:afterAutospacing="1"/>
    </w:pPr>
    <w:rPr>
      <w:rFonts w:ascii="Times New Roman" w:eastAsia="Calibri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.queguiner@mio.osupytheas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e.leblanc@univ-amu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rine.leblanc@univ-amu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grid.obernosterer@obs-banyuls.f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F7773F-63A9-FA49-939B-177A69ED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1</cp:revision>
  <dcterms:created xsi:type="dcterms:W3CDTF">2018-05-16T11:08:00Z</dcterms:created>
  <dcterms:modified xsi:type="dcterms:W3CDTF">2018-06-28T08:45:00Z</dcterms:modified>
</cp:coreProperties>
</file>