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B44" w:rsidRDefault="00590B44">
      <w:pPr>
        <w:rPr>
          <w:rFonts w:ascii="Arial" w:hAnsi="Arial" w:cs="Arial"/>
          <w:b/>
          <w:color w:val="0070C0"/>
          <w:lang w:val="en-US"/>
        </w:rPr>
      </w:pPr>
      <w:r w:rsidRPr="00DD78A1">
        <w:rPr>
          <w:rFonts w:ascii="Arial" w:hAnsi="Arial" w:cs="Arial"/>
          <w:lang w:val="en-US"/>
        </w:rPr>
        <w:t>Datas</w:t>
      </w:r>
      <w:r w:rsidR="00DD78A1" w:rsidRPr="00DD78A1">
        <w:rPr>
          <w:rFonts w:ascii="Arial" w:hAnsi="Arial" w:cs="Arial"/>
          <w:lang w:val="en-US"/>
        </w:rPr>
        <w:t xml:space="preserve">et name: </w:t>
      </w:r>
      <w:r w:rsidR="0043206B">
        <w:rPr>
          <w:rFonts w:ascii="Arial" w:hAnsi="Arial" w:cs="Arial"/>
          <w:b/>
          <w:color w:val="0070C0"/>
          <w:lang w:val="en-US"/>
        </w:rPr>
        <w:t>Grazing of b</w:t>
      </w:r>
      <w:r w:rsidR="00483870">
        <w:rPr>
          <w:rFonts w:ascii="Arial" w:hAnsi="Arial" w:cs="Arial"/>
          <w:b/>
          <w:color w:val="0070C0"/>
          <w:lang w:val="en-US"/>
        </w:rPr>
        <w:t xml:space="preserve">acteria </w:t>
      </w:r>
    </w:p>
    <w:p w:rsidR="00B95F85" w:rsidRDefault="00B95F85">
      <w:pPr>
        <w:rPr>
          <w:rFonts w:ascii="Arial" w:hAnsi="Arial" w:cs="Arial"/>
          <w:b/>
          <w:color w:val="0070C0"/>
          <w:lang w:val="en-US"/>
        </w:rPr>
      </w:pPr>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665D03" w:rsidRPr="00665D03" w:rsidTr="00B95F85">
        <w:tc>
          <w:tcPr>
            <w:tcW w:w="1555" w:type="dxa"/>
          </w:tcPr>
          <w:p w:rsidR="00B95F85" w:rsidRPr="00665D03" w:rsidRDefault="00B95F85" w:rsidP="00B95F85">
            <w:pPr>
              <w:spacing w:before="60"/>
              <w:rPr>
                <w:rFonts w:ascii="Arial" w:hAnsi="Arial" w:cs="Arial"/>
                <w:lang w:val="en-US"/>
              </w:rPr>
            </w:pPr>
            <w:bookmarkStart w:id="0" w:name="_GoBack"/>
            <w:r w:rsidRPr="00665D03">
              <w:rPr>
                <w:rFonts w:ascii="Arial" w:hAnsi="Arial" w:cs="Arial"/>
                <w:lang w:val="en-US"/>
              </w:rPr>
              <w:t>Parameters:</w:t>
            </w:r>
          </w:p>
          <w:bookmarkEnd w:id="0"/>
          <w:p w:rsidR="00B95F85" w:rsidRPr="00665D03" w:rsidRDefault="00B95F85">
            <w:pPr>
              <w:rPr>
                <w:rFonts w:ascii="Arial" w:hAnsi="Arial" w:cs="Arial"/>
                <w:color w:val="0070C0"/>
                <w:lang w:val="en-US"/>
              </w:rPr>
            </w:pPr>
          </w:p>
        </w:tc>
        <w:tc>
          <w:tcPr>
            <w:tcW w:w="7654" w:type="dxa"/>
          </w:tcPr>
          <w:p w:rsidR="00B95F85" w:rsidRPr="00665D03" w:rsidRDefault="00723725" w:rsidP="00924499">
            <w:pPr>
              <w:pStyle w:val="Paragraphedeliste"/>
              <w:numPr>
                <w:ilvl w:val="0"/>
                <w:numId w:val="3"/>
              </w:numPr>
              <w:spacing w:before="60"/>
              <w:ind w:left="236"/>
              <w:contextualSpacing w:val="0"/>
              <w:rPr>
                <w:rFonts w:ascii="Arial" w:hAnsi="Arial" w:cs="Arial"/>
                <w:b/>
                <w:color w:val="0070C0"/>
                <w:lang w:val="en-US"/>
              </w:rPr>
            </w:pPr>
            <w:r w:rsidRPr="00665D03">
              <w:rPr>
                <w:rFonts w:ascii="Arial" w:hAnsi="Arial" w:cs="Arial"/>
                <w:b/>
                <w:color w:val="0070C0"/>
                <w:lang w:val="en-US"/>
              </w:rPr>
              <w:t>Rate</w:t>
            </w:r>
            <w:r w:rsidR="00924499" w:rsidRPr="00665D03">
              <w:rPr>
                <w:rFonts w:ascii="Arial" w:hAnsi="Arial" w:cs="Arial"/>
                <w:b/>
                <w:color w:val="0070C0"/>
                <w:lang w:val="en-US"/>
              </w:rPr>
              <w:t>s</w:t>
            </w:r>
            <w:r w:rsidRPr="00665D03">
              <w:rPr>
                <w:rFonts w:ascii="Arial" w:hAnsi="Arial" w:cs="Arial"/>
                <w:b/>
                <w:color w:val="0070C0"/>
                <w:lang w:val="en-US"/>
              </w:rPr>
              <w:t xml:space="preserve"> </w:t>
            </w:r>
            <w:r w:rsidR="00924499" w:rsidRPr="00665D03">
              <w:rPr>
                <w:rFonts w:ascii="Arial" w:hAnsi="Arial" w:cs="Arial"/>
                <w:b/>
                <w:color w:val="0070C0"/>
                <w:lang w:val="en-US"/>
              </w:rPr>
              <w:t xml:space="preserve">of </w:t>
            </w:r>
            <w:r w:rsidRPr="00665D03">
              <w:rPr>
                <w:rFonts w:ascii="Arial" w:hAnsi="Arial" w:cs="Arial"/>
                <w:b/>
                <w:color w:val="0070C0"/>
                <w:lang w:val="en-US"/>
              </w:rPr>
              <w:t xml:space="preserve">bacterial </w:t>
            </w:r>
            <w:r w:rsidR="00924499" w:rsidRPr="00665D03">
              <w:rPr>
                <w:rFonts w:ascii="Arial" w:hAnsi="Arial" w:cs="Arial"/>
                <w:b/>
                <w:color w:val="0070C0"/>
                <w:lang w:val="en-US"/>
              </w:rPr>
              <w:t>consumption</w:t>
            </w:r>
            <w:r w:rsidRPr="00665D03">
              <w:rPr>
                <w:rFonts w:ascii="Arial" w:hAnsi="Arial" w:cs="Arial"/>
                <w:b/>
                <w:color w:val="0070C0"/>
                <w:lang w:val="en-US"/>
              </w:rPr>
              <w:t xml:space="preserve"> </w:t>
            </w:r>
          </w:p>
        </w:tc>
      </w:tr>
    </w:tbl>
    <w:p w:rsidR="00590B44" w:rsidRPr="00DD78A1" w:rsidRDefault="00590B44">
      <w:pPr>
        <w:rPr>
          <w:rFonts w:ascii="Arial" w:hAnsi="Arial" w:cs="Arial"/>
          <w:lang w:val="en-US"/>
        </w:rPr>
      </w:pP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b/>
          <w:lang w:val="en-US"/>
        </w:rPr>
      </w:pPr>
      <w:r w:rsidRPr="00DD78A1">
        <w:rPr>
          <w:rFonts w:ascii="Arial" w:hAnsi="Arial" w:cs="Arial"/>
          <w:lang w:val="en-US"/>
        </w:rPr>
        <w:t xml:space="preserve">PROJECT TITLE: </w:t>
      </w:r>
      <w:r w:rsidRPr="00DD78A1">
        <w:rPr>
          <w:rFonts w:ascii="Arial" w:hAnsi="Arial" w:cs="Arial"/>
          <w:b/>
          <w:lang w:val="en-US"/>
        </w:rPr>
        <w:t>MOBYDICK</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r w:rsidRPr="00DD78A1">
        <w:rPr>
          <w:rFonts w:ascii="Arial" w:hAnsi="Arial" w:cs="Arial"/>
          <w:lang w:val="en-US"/>
        </w:rPr>
        <w:t>Oceanographic cruise:</w:t>
      </w:r>
      <w:r w:rsidRPr="00DD78A1">
        <w:rPr>
          <w:rFonts w:ascii="Arial" w:hAnsi="Arial" w:cs="Arial"/>
          <w:b/>
          <w:lang w:val="en-US"/>
        </w:rPr>
        <w:t xml:space="preserve">  MOBYDICK</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Start date:</w:t>
      </w:r>
      <w:r w:rsidRPr="00DD78A1">
        <w:rPr>
          <w:rFonts w:ascii="Arial" w:hAnsi="Arial" w:cs="Arial"/>
          <w:b/>
          <w:lang w:val="en-US"/>
        </w:rPr>
        <w:t xml:space="preserve"> </w:t>
      </w:r>
      <w:r w:rsidRPr="00DD78A1">
        <w:rPr>
          <w:rFonts w:ascii="Arial" w:hAnsi="Arial" w:cs="Arial"/>
          <w:b/>
          <w:lang w:val="en-US"/>
        </w:rPr>
        <w:tab/>
        <w:t>18/02/2018</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End date:</w:t>
      </w:r>
      <w:r w:rsidRPr="00DD78A1">
        <w:rPr>
          <w:rFonts w:ascii="Arial" w:hAnsi="Arial" w:cs="Arial"/>
          <w:b/>
          <w:lang w:val="en-US"/>
        </w:rPr>
        <w:tab/>
        <w:t>27/03/2018</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p>
    <w:p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DD78A1">
        <w:rPr>
          <w:rFonts w:ascii="Arial" w:hAnsi="Arial" w:cs="Arial"/>
          <w:lang w:val="en-US"/>
        </w:rPr>
        <w:t>Project manager:</w:t>
      </w:r>
      <w:r w:rsidRPr="00DD78A1">
        <w:rPr>
          <w:rFonts w:ascii="Arial" w:hAnsi="Arial" w:cs="Arial"/>
          <w:lang w:val="en-US"/>
        </w:rPr>
        <w:tab/>
      </w:r>
      <w:r w:rsidRPr="00DD78A1">
        <w:rPr>
          <w:rFonts w:ascii="Arial" w:hAnsi="Arial" w:cs="Arial"/>
          <w:b/>
          <w:u w:val="single"/>
          <w:lang w:val="en-US"/>
        </w:rPr>
        <w:t>Bernard Qué</w:t>
      </w:r>
      <w:r w:rsidRPr="00DD78A1">
        <w:rPr>
          <w:rFonts w:ascii="Arial" w:hAnsi="Arial" w:cs="Arial"/>
          <w:b/>
          <w:lang w:val="en-US"/>
        </w:rPr>
        <w:t>g</w:t>
      </w:r>
      <w:r w:rsidRPr="00DD78A1">
        <w:rPr>
          <w:rFonts w:ascii="Arial" w:hAnsi="Arial" w:cs="Arial"/>
          <w:b/>
          <w:u w:val="single"/>
          <w:lang w:val="en-US"/>
        </w:rPr>
        <w:t>uiner</w:t>
      </w:r>
      <w:r w:rsidRPr="00330376">
        <w:rPr>
          <w:rFonts w:ascii="Arial" w:hAnsi="Arial" w:cs="Arial"/>
          <w:lang w:val="en-US"/>
        </w:rPr>
        <w:tab/>
      </w:r>
      <w:hyperlink r:id="rId7" w:history="1">
        <w:r w:rsidRPr="00437351">
          <w:rPr>
            <w:rStyle w:val="Lienhypertexte"/>
            <w:rFonts w:ascii="Arial" w:hAnsi="Arial" w:cs="Arial"/>
            <w:lang w:val="en-US"/>
          </w:rPr>
          <w:t>bernard.queguiner@mio.osupytheas.fr</w:t>
        </w:r>
      </w:hyperlink>
    </w:p>
    <w:p w:rsidR="00D74D4F" w:rsidRP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74D4F">
        <w:rPr>
          <w:rFonts w:ascii="Arial" w:hAnsi="Arial" w:cs="Arial"/>
        </w:rPr>
        <w:t>Address:</w:t>
      </w:r>
      <w:r w:rsidRPr="00D74D4F">
        <w:rPr>
          <w:rFonts w:ascii="Arial" w:hAnsi="Arial" w:cs="Arial"/>
        </w:rPr>
        <w:tab/>
      </w:r>
      <w:r w:rsidRPr="00D74D4F">
        <w:rPr>
          <w:rFonts w:ascii="Arial" w:hAnsi="Arial" w:cs="Arial"/>
          <w:b/>
        </w:rPr>
        <w:t>Mediterranean Institute of Oceanolography</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74D4F">
        <w:rPr>
          <w:rFonts w:ascii="Arial" w:hAnsi="Arial" w:cs="Arial"/>
          <w:b/>
        </w:rPr>
        <w:tab/>
      </w:r>
      <w:r w:rsidRPr="00DD78A1">
        <w:rPr>
          <w:rFonts w:ascii="Arial" w:hAnsi="Arial" w:cs="Arial"/>
          <w:b/>
        </w:rPr>
        <w:t>Institut Pytheas - Observatoire des Sciences de l'Univers</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Bâtiment OCEANOMED, Campus de Luminy, case 901</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F-13288 Marseille Cedex 09, France</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p>
    <w:p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330376">
        <w:rPr>
          <w:rFonts w:ascii="Arial" w:hAnsi="Arial" w:cs="Arial"/>
          <w:lang w:val="en-US"/>
        </w:rPr>
        <w:t>Chief scientist:</w:t>
      </w:r>
      <w:r w:rsidRPr="00330376">
        <w:rPr>
          <w:rFonts w:ascii="Arial" w:hAnsi="Arial" w:cs="Arial"/>
          <w:lang w:val="en-US"/>
        </w:rPr>
        <w:tab/>
      </w:r>
      <w:r w:rsidRPr="00330376">
        <w:rPr>
          <w:rFonts w:ascii="Arial" w:hAnsi="Arial" w:cs="Arial"/>
          <w:b/>
          <w:u w:val="single"/>
          <w:lang w:val="en-US"/>
        </w:rPr>
        <w:t>In</w:t>
      </w:r>
      <w:r w:rsidRPr="00330376">
        <w:rPr>
          <w:rFonts w:ascii="Arial" w:hAnsi="Arial" w:cs="Arial"/>
          <w:b/>
          <w:lang w:val="en-US"/>
        </w:rPr>
        <w:t>g</w:t>
      </w:r>
      <w:r w:rsidRPr="00330376">
        <w:rPr>
          <w:rFonts w:ascii="Arial" w:hAnsi="Arial" w:cs="Arial"/>
          <w:b/>
          <w:u w:val="single"/>
          <w:lang w:val="en-US"/>
        </w:rPr>
        <w:t>rid Obernosterer</w:t>
      </w:r>
      <w:r w:rsidRPr="00330376">
        <w:rPr>
          <w:rFonts w:ascii="Arial" w:hAnsi="Arial" w:cs="Arial"/>
          <w:lang w:val="en-US"/>
        </w:rPr>
        <w:tab/>
      </w:r>
      <w:hyperlink r:id="rId8" w:history="1">
        <w:r w:rsidRPr="00437351">
          <w:rPr>
            <w:rStyle w:val="Lienhypertexte"/>
            <w:rFonts w:ascii="Arial" w:hAnsi="Arial" w:cs="Arial"/>
            <w:lang w:val="en-US"/>
          </w:rPr>
          <w:t>ingrid.obernosterer@obs-banyuls.fr</w:t>
        </w:r>
      </w:hyperlink>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D78A1">
        <w:rPr>
          <w:rFonts w:ascii="Arial" w:hAnsi="Arial" w:cs="Arial"/>
        </w:rPr>
        <w:t>Address:</w:t>
      </w:r>
      <w:r w:rsidRPr="00DD78A1">
        <w:rPr>
          <w:rFonts w:ascii="Arial" w:hAnsi="Arial" w:cs="Arial"/>
        </w:rPr>
        <w:tab/>
      </w:r>
      <w:r w:rsidRPr="00DD78A1">
        <w:rPr>
          <w:rFonts w:ascii="Arial" w:hAnsi="Arial" w:cs="Arial"/>
          <w:b/>
        </w:rPr>
        <w:t>Laboratoire d’Océanographie Microbienne</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rPr>
      </w:pPr>
      <w:r w:rsidRPr="00DD78A1">
        <w:rPr>
          <w:rFonts w:ascii="Arial" w:hAnsi="Arial" w:cs="Arial"/>
          <w:b/>
        </w:rPr>
        <w:tab/>
        <w:t>Observatoire Océanologique de Banyuls sur mer</w:t>
      </w:r>
    </w:p>
    <w:p w:rsidR="00590B44" w:rsidRPr="00900E02"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r w:rsidRPr="00DD78A1">
        <w:rPr>
          <w:rFonts w:ascii="Arial" w:hAnsi="Arial" w:cs="Arial"/>
          <w:b/>
        </w:rPr>
        <w:tab/>
      </w:r>
      <w:r w:rsidRPr="00900E02">
        <w:rPr>
          <w:rFonts w:ascii="Arial" w:hAnsi="Arial" w:cs="Arial"/>
          <w:b/>
          <w:lang w:val="en-US"/>
        </w:rPr>
        <w:t xml:space="preserve">66650 Banyuls sur mer, </w:t>
      </w:r>
      <w:r w:rsidR="00DD78A1" w:rsidRPr="00900E02">
        <w:rPr>
          <w:rFonts w:ascii="Arial" w:hAnsi="Arial" w:cs="Arial"/>
          <w:b/>
          <w:lang w:val="en-US"/>
        </w:rPr>
        <w:t>France</w:t>
      </w:r>
    </w:p>
    <w:p w:rsidR="00DD78A1" w:rsidRPr="00900E02"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p>
    <w:p w:rsidR="00DD78A1" w:rsidRPr="00DD78A1"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b/>
          <w:lang w:val="en-US"/>
        </w:rPr>
      </w:pPr>
      <w:r>
        <w:rPr>
          <w:rFonts w:ascii="Arial" w:hAnsi="Arial" w:cs="Arial"/>
          <w:lang w:val="en-US"/>
        </w:rPr>
        <w:tab/>
      </w:r>
      <w:r w:rsidRPr="00DD78A1">
        <w:rPr>
          <w:rFonts w:ascii="Arial" w:hAnsi="Arial" w:cs="Arial"/>
          <w:lang w:val="en-US"/>
        </w:rPr>
        <w:t>Geographic information:</w:t>
      </w:r>
      <w:r>
        <w:rPr>
          <w:rFonts w:ascii="Arial" w:hAnsi="Arial" w:cs="Arial"/>
          <w:lang w:val="en-US"/>
        </w:rPr>
        <w:tab/>
      </w:r>
      <w:r w:rsidRPr="00DD78A1">
        <w:rPr>
          <w:rFonts w:ascii="Arial" w:hAnsi="Arial" w:cs="Arial"/>
          <w:b/>
          <w:lang w:val="en-US"/>
        </w:rPr>
        <w:t>Indian sector of the Southern Ocean</w:t>
      </w:r>
    </w:p>
    <w:p w:rsid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Latitude:</w:t>
      </w:r>
      <w:r w:rsidR="00B95F85">
        <w:rPr>
          <w:rFonts w:ascii="Arial" w:hAnsi="Arial" w:cs="Arial"/>
          <w:lang w:val="en-US"/>
        </w:rPr>
        <w:tab/>
      </w:r>
      <w:r w:rsidR="00B95F85" w:rsidRPr="00B95F85">
        <w:rPr>
          <w:rFonts w:ascii="Arial" w:hAnsi="Arial" w:cs="Arial"/>
          <w:b/>
          <w:lang w:val="en-US"/>
        </w:rPr>
        <w:t>49.5°S – 52.5°S</w:t>
      </w:r>
    </w:p>
    <w:p w:rsidR="00DD78A1" w:rsidRP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Longitude:</w:t>
      </w:r>
      <w:r w:rsidR="00B95F85">
        <w:rPr>
          <w:rFonts w:ascii="Arial" w:hAnsi="Arial" w:cs="Arial"/>
          <w:lang w:val="en-US"/>
        </w:rPr>
        <w:tab/>
      </w:r>
      <w:r w:rsidR="00B95F85" w:rsidRPr="00B95F85">
        <w:rPr>
          <w:rFonts w:ascii="Arial" w:hAnsi="Arial" w:cs="Arial"/>
          <w:b/>
          <w:lang w:val="en-US"/>
        </w:rPr>
        <w:t>67,0°E – 74.5°E</w:t>
      </w:r>
    </w:p>
    <w:p w:rsidR="00DD78A1" w:rsidRPr="00DD78A1" w:rsidRDefault="00DD78A1" w:rsidP="00DD78A1">
      <w:pPr>
        <w:ind w:left="993" w:hanging="993"/>
        <w:rPr>
          <w:rFonts w:ascii="Arial" w:hAnsi="Arial" w:cs="Arial"/>
          <w:lang w:val="en-US"/>
        </w:rPr>
      </w:pPr>
    </w:p>
    <w:p w:rsidR="00DD78A1" w:rsidRPr="00DD78A1" w:rsidRDefault="00DD78A1" w:rsidP="00DD78A1">
      <w:pPr>
        <w:ind w:left="2410" w:hanging="2410"/>
        <w:rPr>
          <w:rFonts w:ascii="Arial" w:hAnsi="Arial" w:cs="Arial"/>
          <w:lang w:val="en-US"/>
        </w:rPr>
      </w:pPr>
      <w:r>
        <w:rPr>
          <w:rFonts w:ascii="Arial" w:hAnsi="Arial" w:cs="Arial"/>
          <w:lang w:val="en-US"/>
        </w:rPr>
        <w:t>Parameter supervisor</w:t>
      </w:r>
      <w:r w:rsidRPr="00DD78A1">
        <w:rPr>
          <w:rFonts w:ascii="Arial" w:hAnsi="Arial" w:cs="Arial"/>
          <w:lang w:val="en-US"/>
        </w:rPr>
        <w:t>:</w:t>
      </w:r>
      <w:r w:rsidRPr="00DD78A1">
        <w:rPr>
          <w:rFonts w:ascii="Arial" w:hAnsi="Arial" w:cs="Arial"/>
          <w:lang w:val="en-US"/>
        </w:rPr>
        <w:tab/>
      </w:r>
      <w:r w:rsidR="00AC1DA0">
        <w:rPr>
          <w:rFonts w:ascii="Arial" w:eastAsia="Arial Unicode MS" w:hAnsi="Arial" w:cs="Arial"/>
          <w:b/>
          <w:color w:val="0070C0"/>
          <w:lang w:val="en-US"/>
        </w:rPr>
        <w:t>Urania Christaki</w:t>
      </w:r>
    </w:p>
    <w:p w:rsidR="00DD78A1" w:rsidRPr="00EC5587" w:rsidRDefault="00AC1DA0" w:rsidP="00DD78A1">
      <w:pPr>
        <w:ind w:left="2410"/>
        <w:rPr>
          <w:rFonts w:ascii="Arial" w:hAnsi="Arial" w:cs="Arial"/>
          <w:lang w:val="en-US"/>
        </w:rPr>
      </w:pPr>
      <w:r w:rsidRPr="00EC5587">
        <w:rPr>
          <w:rFonts w:ascii="Arial" w:eastAsia="Arial Unicode MS" w:hAnsi="Arial" w:cs="Arial"/>
          <w:lang w:val="en-US"/>
        </w:rPr>
        <w:t>LOG</w:t>
      </w:r>
    </w:p>
    <w:p w:rsidR="00AC1DA0" w:rsidRPr="00EC5587" w:rsidRDefault="00AC1DA0" w:rsidP="00DD78A1">
      <w:pPr>
        <w:ind w:left="2410"/>
        <w:rPr>
          <w:rFonts w:ascii="Arial" w:eastAsia="Arial Unicode MS" w:hAnsi="Arial" w:cs="Arial"/>
          <w:lang w:val="en-US"/>
        </w:rPr>
      </w:pPr>
      <w:r w:rsidRPr="00EC5587">
        <w:rPr>
          <w:rFonts w:ascii="Arial" w:eastAsia="Arial Unicode MS" w:hAnsi="Arial" w:cs="Arial"/>
          <w:lang w:val="en-US"/>
        </w:rPr>
        <w:t>32 avenue Foch,</w:t>
      </w:r>
    </w:p>
    <w:p w:rsidR="00DD78A1" w:rsidRPr="00DD78A1" w:rsidRDefault="00AC1DA0" w:rsidP="00DD78A1">
      <w:pPr>
        <w:ind w:left="2410"/>
        <w:rPr>
          <w:rFonts w:ascii="Arial" w:hAnsi="Arial" w:cs="Arial"/>
        </w:rPr>
      </w:pPr>
      <w:r w:rsidRPr="00AC1DA0">
        <w:rPr>
          <w:rFonts w:ascii="Arial" w:eastAsia="Arial Unicode MS" w:hAnsi="Arial" w:cs="Arial"/>
        </w:rPr>
        <w:t>62930 Wimereux</w:t>
      </w:r>
      <w:r w:rsidR="00DD78A1">
        <w:rPr>
          <w:rFonts w:ascii="Arial" w:eastAsia="Arial Unicode MS" w:hAnsi="Arial" w:cs="Arial"/>
        </w:rPr>
        <w:t xml:space="preserve">, </w:t>
      </w:r>
      <w:r w:rsidR="00DD78A1" w:rsidRPr="00DD78A1">
        <w:rPr>
          <w:rFonts w:ascii="Arial" w:eastAsia="Arial Unicode MS" w:hAnsi="Arial" w:cs="Arial"/>
        </w:rPr>
        <w:t>France</w:t>
      </w:r>
    </w:p>
    <w:p w:rsidR="00DD78A1" w:rsidRPr="00AC1DA0" w:rsidRDefault="00DD78A1" w:rsidP="00DD78A1">
      <w:pPr>
        <w:ind w:left="2410"/>
        <w:rPr>
          <w:rFonts w:ascii="Arial" w:hAnsi="Arial" w:cs="Arial"/>
        </w:rPr>
      </w:pPr>
      <w:r w:rsidRPr="00AC1DA0">
        <w:rPr>
          <w:rFonts w:ascii="Arial" w:eastAsia="Arial Unicode MS" w:hAnsi="Arial" w:cs="Arial"/>
        </w:rPr>
        <w:t>+33 (0)</w:t>
      </w:r>
      <w:r w:rsidR="00AC1DA0" w:rsidRPr="00AC1DA0">
        <w:rPr>
          <w:rFonts w:ascii="Arial" w:eastAsia="Arial Unicode MS" w:hAnsi="Arial" w:cs="Arial"/>
        </w:rPr>
        <w:t>3</w:t>
      </w:r>
      <w:r w:rsidRPr="00AC1DA0">
        <w:rPr>
          <w:rFonts w:ascii="Arial" w:eastAsia="Arial Unicode MS" w:hAnsi="Arial" w:cs="Arial"/>
        </w:rPr>
        <w:t xml:space="preserve"> </w:t>
      </w:r>
      <w:r w:rsidR="00AC1DA0" w:rsidRPr="00AC1DA0">
        <w:rPr>
          <w:rFonts w:ascii="Arial" w:eastAsia="Arial Unicode MS" w:hAnsi="Arial" w:cs="Arial"/>
        </w:rPr>
        <w:t>21</w:t>
      </w:r>
      <w:r w:rsidRPr="00AC1DA0">
        <w:rPr>
          <w:rFonts w:ascii="Arial" w:eastAsia="Arial Unicode MS" w:hAnsi="Arial" w:cs="Arial"/>
        </w:rPr>
        <w:t xml:space="preserve"> </w:t>
      </w:r>
      <w:r w:rsidR="00AC1DA0" w:rsidRPr="00AC1DA0">
        <w:rPr>
          <w:rFonts w:ascii="Arial" w:eastAsia="Arial Unicode MS" w:hAnsi="Arial" w:cs="Arial"/>
        </w:rPr>
        <w:t>99</w:t>
      </w:r>
      <w:r w:rsidRPr="00AC1DA0">
        <w:rPr>
          <w:rFonts w:ascii="Arial" w:eastAsia="Arial Unicode MS" w:hAnsi="Arial" w:cs="Arial"/>
        </w:rPr>
        <w:t xml:space="preserve"> </w:t>
      </w:r>
      <w:r w:rsidR="00AC1DA0" w:rsidRPr="00AC1DA0">
        <w:rPr>
          <w:rFonts w:ascii="Arial" w:eastAsia="Arial Unicode MS" w:hAnsi="Arial" w:cs="Arial"/>
        </w:rPr>
        <w:t>64</w:t>
      </w:r>
      <w:r w:rsidRPr="00AC1DA0">
        <w:rPr>
          <w:rFonts w:ascii="Arial" w:eastAsia="Arial Unicode MS" w:hAnsi="Arial" w:cs="Arial"/>
        </w:rPr>
        <w:t xml:space="preserve"> </w:t>
      </w:r>
      <w:r w:rsidR="00AC1DA0" w:rsidRPr="00AC1DA0">
        <w:rPr>
          <w:rFonts w:ascii="Arial" w:eastAsia="Arial Unicode MS" w:hAnsi="Arial" w:cs="Arial"/>
        </w:rPr>
        <w:t>01</w:t>
      </w:r>
    </w:p>
    <w:p w:rsidR="00DD78A1" w:rsidRDefault="002C1B04" w:rsidP="00DD78A1">
      <w:pPr>
        <w:ind w:left="2410"/>
        <w:rPr>
          <w:rFonts w:ascii="Arial" w:eastAsia="Arial Unicode MS" w:hAnsi="Arial" w:cs="Arial"/>
        </w:rPr>
      </w:pPr>
      <w:hyperlink r:id="rId9" w:history="1">
        <w:r w:rsidR="00AC1DA0" w:rsidRPr="009E49E6">
          <w:rPr>
            <w:rStyle w:val="Lienhypertexte"/>
            <w:rFonts w:ascii="Arial" w:eastAsia="Arial Unicode MS" w:hAnsi="Arial" w:cs="Arial"/>
          </w:rPr>
          <w:t>Urania.christaki@univ-littoral.fr</w:t>
        </w:r>
      </w:hyperlink>
    </w:p>
    <w:p w:rsidR="00DD78A1" w:rsidRPr="00AC1DA0" w:rsidRDefault="00DD78A1" w:rsidP="00DD78A1">
      <w:pPr>
        <w:ind w:left="1843"/>
        <w:rPr>
          <w:rFonts w:ascii="Arial" w:hAnsi="Arial" w:cs="Arial"/>
        </w:rPr>
      </w:pPr>
    </w:p>
    <w:p w:rsidR="0043206B" w:rsidRPr="0043206B" w:rsidRDefault="00DD78A1" w:rsidP="0043206B">
      <w:pPr>
        <w:ind w:left="2410" w:hanging="2410"/>
        <w:rPr>
          <w:rFonts w:ascii="Arial" w:hAnsi="Arial" w:cs="Arial"/>
        </w:rPr>
      </w:pPr>
      <w:r w:rsidRPr="00AC1DA0">
        <w:rPr>
          <w:rFonts w:ascii="Arial" w:hAnsi="Arial" w:cs="Arial"/>
        </w:rPr>
        <w:t>Dataset contact:</w:t>
      </w:r>
      <w:r w:rsidRPr="00AC1DA0">
        <w:rPr>
          <w:rFonts w:ascii="Arial" w:hAnsi="Arial" w:cs="Arial"/>
        </w:rPr>
        <w:tab/>
      </w:r>
      <w:r w:rsidR="0043206B" w:rsidRPr="0043206B">
        <w:rPr>
          <w:rFonts w:ascii="Arial" w:eastAsia="Arial Unicode MS" w:hAnsi="Arial" w:cs="Arial"/>
          <w:b/>
          <w:color w:val="0070C0"/>
        </w:rPr>
        <w:t>Urania Christaki</w:t>
      </w:r>
    </w:p>
    <w:p w:rsidR="0043206B" w:rsidRPr="0043206B" w:rsidRDefault="0043206B" w:rsidP="0043206B">
      <w:pPr>
        <w:ind w:left="2410"/>
        <w:rPr>
          <w:rFonts w:ascii="Arial" w:hAnsi="Arial" w:cs="Arial"/>
        </w:rPr>
      </w:pPr>
      <w:r w:rsidRPr="0043206B">
        <w:rPr>
          <w:rFonts w:ascii="Arial" w:eastAsia="Arial Unicode MS" w:hAnsi="Arial" w:cs="Arial"/>
        </w:rPr>
        <w:t>LOG</w:t>
      </w:r>
    </w:p>
    <w:p w:rsidR="0043206B" w:rsidRPr="0043206B" w:rsidRDefault="0043206B" w:rsidP="0043206B">
      <w:pPr>
        <w:ind w:left="2410"/>
        <w:rPr>
          <w:rFonts w:ascii="Arial" w:eastAsia="Arial Unicode MS" w:hAnsi="Arial" w:cs="Arial"/>
        </w:rPr>
      </w:pPr>
      <w:r w:rsidRPr="0043206B">
        <w:rPr>
          <w:rFonts w:ascii="Arial" w:eastAsia="Arial Unicode MS" w:hAnsi="Arial" w:cs="Arial"/>
        </w:rPr>
        <w:t>32 avenue Foch,</w:t>
      </w:r>
    </w:p>
    <w:p w:rsidR="0043206B" w:rsidRPr="00DD78A1" w:rsidRDefault="0043206B" w:rsidP="0043206B">
      <w:pPr>
        <w:ind w:left="2410"/>
        <w:rPr>
          <w:rFonts w:ascii="Arial" w:hAnsi="Arial" w:cs="Arial"/>
        </w:rPr>
      </w:pPr>
      <w:r w:rsidRPr="00AC1DA0">
        <w:rPr>
          <w:rFonts w:ascii="Arial" w:eastAsia="Arial Unicode MS" w:hAnsi="Arial" w:cs="Arial"/>
        </w:rPr>
        <w:t>62930 Wimereux</w:t>
      </w:r>
      <w:r>
        <w:rPr>
          <w:rFonts w:ascii="Arial" w:eastAsia="Arial Unicode MS" w:hAnsi="Arial" w:cs="Arial"/>
        </w:rPr>
        <w:t xml:space="preserve">, </w:t>
      </w:r>
      <w:r w:rsidRPr="00DD78A1">
        <w:rPr>
          <w:rFonts w:ascii="Arial" w:eastAsia="Arial Unicode MS" w:hAnsi="Arial" w:cs="Arial"/>
        </w:rPr>
        <w:t>France</w:t>
      </w:r>
    </w:p>
    <w:p w:rsidR="0043206B" w:rsidRPr="00AC1DA0" w:rsidRDefault="0043206B" w:rsidP="0043206B">
      <w:pPr>
        <w:ind w:left="2410"/>
        <w:rPr>
          <w:rFonts w:ascii="Arial" w:hAnsi="Arial" w:cs="Arial"/>
        </w:rPr>
      </w:pPr>
      <w:r w:rsidRPr="00AC1DA0">
        <w:rPr>
          <w:rFonts w:ascii="Arial" w:eastAsia="Arial Unicode MS" w:hAnsi="Arial" w:cs="Arial"/>
        </w:rPr>
        <w:t>+33 (0)3 21 99 64 01</w:t>
      </w:r>
    </w:p>
    <w:p w:rsidR="002F5641" w:rsidRPr="0043206B" w:rsidRDefault="002C1B04" w:rsidP="0043206B">
      <w:pPr>
        <w:ind w:left="2410"/>
        <w:rPr>
          <w:rFonts w:ascii="Arial" w:eastAsia="Arial Unicode MS" w:hAnsi="Arial" w:cs="Arial"/>
        </w:rPr>
        <w:sectPr w:rsidR="002F5641" w:rsidRPr="0043206B" w:rsidSect="00751E33">
          <w:headerReference w:type="first" r:id="rId10"/>
          <w:pgSz w:w="11900" w:h="16840"/>
          <w:pgMar w:top="1613" w:right="1417" w:bottom="1417" w:left="1417" w:header="447" w:footer="708" w:gutter="0"/>
          <w:cols w:space="708"/>
          <w:titlePg/>
          <w:docGrid w:linePitch="360"/>
        </w:sectPr>
      </w:pPr>
      <w:hyperlink r:id="rId11" w:history="1">
        <w:r w:rsidR="0043206B" w:rsidRPr="009E49E6">
          <w:rPr>
            <w:rStyle w:val="Lienhypertexte"/>
            <w:rFonts w:ascii="Arial" w:eastAsia="Arial Unicode MS" w:hAnsi="Arial" w:cs="Arial"/>
          </w:rPr>
          <w:t>Urania.christaki@univ-littoral.fr</w:t>
        </w:r>
      </w:hyperlink>
    </w:p>
    <w:p w:rsidR="00DD78A1" w:rsidRPr="00B0038F" w:rsidRDefault="00DD78A1" w:rsidP="00DD78A1">
      <w:pPr>
        <w:ind w:left="2410" w:hanging="993"/>
        <w:rPr>
          <w:rFonts w:ascii="Arial" w:hAnsi="Arial" w:cs="Arial"/>
        </w:rPr>
      </w:pPr>
    </w:p>
    <w:p w:rsidR="00DD78A1" w:rsidRPr="002F5641" w:rsidRDefault="002F5641" w:rsidP="00D0498F">
      <w:pPr>
        <w:pStyle w:val="Titre1"/>
        <w:rPr>
          <w:lang w:val="en-US"/>
        </w:rPr>
      </w:pPr>
      <w:r w:rsidRPr="002F5641">
        <w:rPr>
          <w:lang w:val="en-US"/>
        </w:rPr>
        <w:t>OPERATIONS</w:t>
      </w:r>
    </w:p>
    <w:p w:rsidR="002F5641" w:rsidRDefault="002F5641" w:rsidP="00D0498F">
      <w:pPr>
        <w:pStyle w:val="Titre2"/>
      </w:pPr>
      <w:r w:rsidRPr="002F5641">
        <w:t xml:space="preserve">Sampling </w:t>
      </w:r>
      <w:r w:rsidR="00AE2BD6">
        <w:t>device</w:t>
      </w:r>
      <w:r w:rsidRPr="002F5641">
        <w:t>(s)</w:t>
      </w:r>
    </w:p>
    <w:p w:rsidR="00EC4908" w:rsidRPr="00EC4908" w:rsidRDefault="00EC4908" w:rsidP="00EC4908">
      <w:pPr>
        <w:pStyle w:val="Paragraphestandard"/>
      </w:pPr>
      <w:r w:rsidRPr="00EC4908">
        <w:t xml:space="preserve">Water </w:t>
      </w:r>
      <w:r w:rsidR="00D45156">
        <w:t>was</w:t>
      </w:r>
      <w:r w:rsidRPr="00EC4908">
        <w:t xml:space="preserve"> sampled from the rosette bottles</w:t>
      </w:r>
      <w:r w:rsidR="00D45156">
        <w:t xml:space="preserve"> </w:t>
      </w:r>
      <w:r w:rsidR="00E336AA">
        <w:t xml:space="preserve">at a single depth </w:t>
      </w:r>
      <w:r w:rsidR="000B083E">
        <w:t>(</w:t>
      </w:r>
      <w:r w:rsidR="00E336AA">
        <w:t>30</w:t>
      </w:r>
      <w:r w:rsidR="000B083E">
        <w:t xml:space="preserve"> m)</w:t>
      </w:r>
      <w:r w:rsidRPr="00EC4908">
        <w:t>.</w:t>
      </w:r>
    </w:p>
    <w:p w:rsidR="002F5641" w:rsidRDefault="002F5641" w:rsidP="00D0498F">
      <w:pPr>
        <w:pStyle w:val="Titre2"/>
      </w:pPr>
      <w:r w:rsidRPr="002F5641">
        <w:t>List of stations sampled</w:t>
      </w:r>
    </w:p>
    <w:p w:rsidR="000B083E" w:rsidRPr="00E336AA" w:rsidRDefault="00E336AA" w:rsidP="000B083E">
      <w:pPr>
        <w:pStyle w:val="Paragraphestandard"/>
        <w:rPr>
          <w:color w:val="000000"/>
        </w:rPr>
      </w:pPr>
      <w:r w:rsidRPr="00E336AA">
        <w:t xml:space="preserve">M2_1,M2_2, M2_3, M3_1, M4_1, M1 </w:t>
      </w:r>
      <w:r w:rsidR="000B083E" w:rsidRPr="00E336AA">
        <w:rPr>
          <w:color w:val="000000"/>
        </w:rPr>
        <w:t>(CTD</w:t>
      </w:r>
      <w:r>
        <w:rPr>
          <w:color w:val="000000"/>
        </w:rPr>
        <w:t>–</w:t>
      </w:r>
      <w:r w:rsidRPr="00E336AA">
        <w:rPr>
          <w:rFonts w:eastAsia="Arial" w:cs="Arial"/>
          <w:iCs/>
          <w:color w:val="000000"/>
          <w:lang w:val="es-MX"/>
        </w:rPr>
        <w:t>eDNA</w:t>
      </w:r>
      <w:r w:rsidR="000B083E" w:rsidRPr="00E336AA">
        <w:rPr>
          <w:color w:val="000000"/>
        </w:rPr>
        <w:t>)</w:t>
      </w:r>
    </w:p>
    <w:p w:rsidR="000B083E" w:rsidRPr="000B083E" w:rsidRDefault="000B083E" w:rsidP="000B083E">
      <w:pPr>
        <w:rPr>
          <w:lang w:val="es-MX"/>
        </w:rPr>
      </w:pPr>
    </w:p>
    <w:p w:rsidR="00CE2744" w:rsidRDefault="0035228D" w:rsidP="00D0498F">
      <w:pPr>
        <w:pStyle w:val="Titre1"/>
      </w:pPr>
      <w:r>
        <w:t>INSTRUMENTS</w:t>
      </w:r>
    </w:p>
    <w:p w:rsidR="0035228D" w:rsidRPr="0035228D" w:rsidRDefault="0035228D" w:rsidP="0035228D">
      <w:pPr>
        <w:pStyle w:val="Paragraphestandard"/>
        <w:ind w:left="2410" w:hanging="1985"/>
      </w:pPr>
      <w:r w:rsidRPr="0035228D">
        <w:t>Instrument Type:</w:t>
      </w:r>
      <w:r>
        <w:tab/>
      </w:r>
      <w:r w:rsidR="009A7CD9" w:rsidRPr="00723725">
        <w:rPr>
          <w:b/>
          <w:color w:val="000000" w:themeColor="text1"/>
        </w:rPr>
        <w:t>Flow cytometer</w:t>
      </w:r>
      <w:r w:rsidR="004D64C7">
        <w:rPr>
          <w:b/>
          <w:color w:val="000000" w:themeColor="text1"/>
        </w:rPr>
        <w:t xml:space="preserve"> CYTOFLEX </w:t>
      </w:r>
      <w:r w:rsidR="009A7CD9" w:rsidRPr="00723725">
        <w:rPr>
          <w:b/>
          <w:color w:val="000000" w:themeColor="text1"/>
        </w:rPr>
        <w:t>epifluorescence microscope</w:t>
      </w:r>
      <w:r w:rsidR="004D64C7">
        <w:rPr>
          <w:b/>
          <w:color w:val="000000" w:themeColor="text1"/>
        </w:rPr>
        <w:t xml:space="preserve"> </w:t>
      </w:r>
    </w:p>
    <w:p w:rsidR="0035228D" w:rsidRPr="0035228D" w:rsidRDefault="0035228D" w:rsidP="0035228D">
      <w:pPr>
        <w:pStyle w:val="Paragraphestandard"/>
        <w:ind w:left="2410" w:hanging="1985"/>
      </w:pPr>
      <w:r w:rsidRPr="0035228D">
        <w:t>Manufacturer:</w:t>
      </w:r>
      <w:r>
        <w:tab/>
      </w:r>
      <w:r w:rsidR="004D64C7">
        <w:rPr>
          <w:b/>
          <w:color w:val="000000" w:themeColor="text1"/>
        </w:rPr>
        <w:t>BECKMANN, Zeiss</w:t>
      </w:r>
    </w:p>
    <w:p w:rsidR="0035228D" w:rsidRPr="0035228D" w:rsidRDefault="0035228D" w:rsidP="0035228D">
      <w:pPr>
        <w:pStyle w:val="Paragraphestandard"/>
        <w:ind w:left="2410" w:hanging="1985"/>
      </w:pPr>
      <w:r w:rsidRPr="0035228D">
        <w:t>Model:</w:t>
      </w:r>
      <w:r>
        <w:tab/>
      </w:r>
    </w:p>
    <w:p w:rsidR="0035228D" w:rsidRDefault="0035228D" w:rsidP="0035228D">
      <w:pPr>
        <w:pStyle w:val="Paragraphestandard"/>
        <w:rPr>
          <w:b/>
        </w:rPr>
      </w:pPr>
      <w:r w:rsidRPr="0035228D">
        <w:t>Instrument Features / Calibration:</w:t>
      </w:r>
      <w:r>
        <w:t xml:space="preserve"> </w:t>
      </w:r>
      <w:r w:rsidRPr="0035228D">
        <w:rPr>
          <w:b/>
        </w:rPr>
        <w:t>N/A</w:t>
      </w:r>
    </w:p>
    <w:p w:rsidR="00AE2BD6" w:rsidRPr="0035228D" w:rsidRDefault="00AE2BD6" w:rsidP="00D0498F">
      <w:pPr>
        <w:pStyle w:val="Titre1"/>
      </w:pPr>
      <w:r>
        <w:t>DESCRIPTION of PARAMETERS</w:t>
      </w:r>
    </w:p>
    <w:p w:rsidR="0035228D" w:rsidRDefault="00496457" w:rsidP="00D0498F">
      <w:pPr>
        <w:pStyle w:val="Titre2"/>
      </w:pPr>
      <w:r>
        <w:t>Measurement</w:t>
      </w:r>
      <w:r w:rsidR="00AE2BD6">
        <w:t xml:space="preserve"> details</w:t>
      </w:r>
    </w:p>
    <w:p w:rsidR="009A7CD9" w:rsidRPr="00390CB8" w:rsidRDefault="009A7CD9" w:rsidP="00F063D0">
      <w:pPr>
        <w:pStyle w:val="Paragraphestandard"/>
        <w:rPr>
          <w:color w:val="000000" w:themeColor="text1"/>
        </w:rPr>
      </w:pPr>
      <w:r w:rsidRPr="00390CB8">
        <w:rPr>
          <w:color w:val="000000" w:themeColor="text1"/>
        </w:rPr>
        <w:t xml:space="preserve">Grazing of bacteria by small microbial eukaryotes is based on the use of fluorescently labelled bacteria (FLB) that are prey analogues. These are heat-killed bacteria stained with a fluorochrome (DTAF). Hence, they cannot divide and grazing rates can therefore be measured by following their disappearance over time. </w:t>
      </w:r>
      <w:r w:rsidRPr="00390CB8">
        <w:rPr>
          <w:i/>
          <w:iCs/>
          <w:color w:val="000000" w:themeColor="text1"/>
        </w:rPr>
        <w:t xml:space="preserve">Pseudomonas diminuta </w:t>
      </w:r>
      <w:r w:rsidRPr="00390CB8">
        <w:rPr>
          <w:color w:val="000000" w:themeColor="text1"/>
          <w:u w:color="FF0000"/>
        </w:rPr>
        <w:t xml:space="preserve">(Vasquez-Dominquez </w:t>
      </w:r>
      <w:r w:rsidRPr="00390CB8">
        <w:rPr>
          <w:i/>
          <w:color w:val="000000" w:themeColor="text1"/>
          <w:u w:color="FF0000"/>
        </w:rPr>
        <w:t>et al.,</w:t>
      </w:r>
      <w:r w:rsidRPr="00390CB8">
        <w:rPr>
          <w:color w:val="000000" w:themeColor="text1"/>
          <w:u w:color="FF0000"/>
        </w:rPr>
        <w:t xml:space="preserve"> 1999)</w:t>
      </w:r>
      <w:r w:rsidRPr="00390CB8">
        <w:rPr>
          <w:color w:val="000000" w:themeColor="text1"/>
        </w:rPr>
        <w:t>, the strain used to prepare the FLB,</w:t>
      </w:r>
      <w:r w:rsidRPr="00390CB8">
        <w:rPr>
          <w:color w:val="000000" w:themeColor="text1"/>
          <w:u w:color="0070C0"/>
        </w:rPr>
        <w:t xml:space="preserve"> </w:t>
      </w:r>
      <w:r w:rsidRPr="00390CB8">
        <w:rPr>
          <w:color w:val="000000" w:themeColor="text1"/>
        </w:rPr>
        <w:t>of 0.064 µm</w:t>
      </w:r>
      <w:r w:rsidRPr="00390CB8">
        <w:rPr>
          <w:color w:val="000000" w:themeColor="text1"/>
          <w:vertAlign w:val="superscript"/>
        </w:rPr>
        <w:t>3</w:t>
      </w:r>
      <w:r w:rsidRPr="00390CB8">
        <w:rPr>
          <w:color w:val="000000" w:themeColor="text1"/>
        </w:rPr>
        <w:t xml:space="preserve"> in size, is very similar to the natural bacteria.</w:t>
      </w:r>
    </w:p>
    <w:p w:rsidR="00D8069C" w:rsidRPr="00D8069C" w:rsidRDefault="009A7CD9" w:rsidP="00F063D0">
      <w:pPr>
        <w:pStyle w:val="Paragraphestandard"/>
        <w:rPr>
          <w:color w:val="000000" w:themeColor="text1"/>
        </w:rPr>
      </w:pPr>
      <w:r w:rsidRPr="00D8069C">
        <w:rPr>
          <w:color w:val="000000" w:themeColor="text1"/>
        </w:rPr>
        <w:t xml:space="preserve">Bottles of 1 L filled with 60 µm filtered seawater and 0.2 µm filtered water for the control were inoculated with approximately 0.5 </w:t>
      </w:r>
      <w:r w:rsidRPr="00D8069C">
        <w:rPr>
          <w:color w:val="000000" w:themeColor="text1"/>
          <w:sz w:val="20"/>
        </w:rPr>
        <w:t>x</w:t>
      </w:r>
      <w:r w:rsidRPr="00D8069C">
        <w:rPr>
          <w:color w:val="000000" w:themeColor="text1"/>
        </w:rPr>
        <w:t xml:space="preserve"> 10</w:t>
      </w:r>
      <w:r w:rsidRPr="00D8069C">
        <w:rPr>
          <w:color w:val="000000" w:themeColor="text1"/>
          <w:vertAlign w:val="superscript"/>
        </w:rPr>
        <w:t>5</w:t>
      </w:r>
      <w:r w:rsidRPr="00D8069C">
        <w:rPr>
          <w:color w:val="000000" w:themeColor="text1"/>
        </w:rPr>
        <w:t xml:space="preserve"> ml</w:t>
      </w:r>
      <w:r w:rsidRPr="00D8069C">
        <w:rPr>
          <w:color w:val="000000" w:themeColor="text1"/>
          <w:vertAlign w:val="superscript"/>
        </w:rPr>
        <w:t>-1</w:t>
      </w:r>
      <w:r w:rsidRPr="00D8069C">
        <w:rPr>
          <w:color w:val="000000" w:themeColor="text1"/>
        </w:rPr>
        <w:t xml:space="preserve"> monodispersed FLB. Each treatment was run in duplicate. After the addition of the FLB, subsamples for microscopy and flow cytometry were immediately withdrawn for T</w:t>
      </w:r>
      <w:r w:rsidRPr="00D8069C">
        <w:rPr>
          <w:color w:val="000000" w:themeColor="text1"/>
          <w:vertAlign w:val="subscript"/>
        </w:rPr>
        <w:t>0</w:t>
      </w:r>
      <w:r w:rsidRPr="00D8069C">
        <w:rPr>
          <w:color w:val="000000" w:themeColor="text1"/>
        </w:rPr>
        <w:t xml:space="preserve"> counts of bacteria, FLB</w:t>
      </w:r>
      <w:r w:rsidR="00D8069C" w:rsidRPr="00D8069C">
        <w:rPr>
          <w:color w:val="000000" w:themeColor="text1"/>
        </w:rPr>
        <w:t>,</w:t>
      </w:r>
      <w:r w:rsidRPr="00D8069C">
        <w:rPr>
          <w:color w:val="000000" w:themeColor="text1"/>
        </w:rPr>
        <w:t xml:space="preserve"> and heterotrophic nanoflagellates (HNF). The three bottles were placed on a deck incubator with running surface seawater covered with a screen providing 75 % light attenuation. After 4h of incubation, 45 m</w:t>
      </w:r>
      <w:r w:rsidR="00D8069C" w:rsidRPr="00D8069C">
        <w:rPr>
          <w:color w:val="000000" w:themeColor="text1"/>
        </w:rPr>
        <w:t>L</w:t>
      </w:r>
      <w:r w:rsidRPr="00D8069C">
        <w:rPr>
          <w:color w:val="000000" w:themeColor="text1"/>
        </w:rPr>
        <w:t xml:space="preserve"> samples were taken in the bottles for inspection of FLB ingestion by HNF and estimation of their grazing rates </w:t>
      </w:r>
      <w:r w:rsidRPr="00D8069C">
        <w:rPr>
          <w:color w:val="000000" w:themeColor="text1"/>
          <w:u w:color="FF0000"/>
        </w:rPr>
        <w:t>(</w:t>
      </w:r>
      <w:r w:rsidR="00D8069C" w:rsidRPr="00D8069C">
        <w:rPr>
          <w:color w:val="000000" w:themeColor="text1"/>
          <w:sz w:val="22"/>
          <w:szCs w:val="22"/>
        </w:rPr>
        <w:t>Dolan &amp; Šimek, 1999</w:t>
      </w:r>
      <w:r w:rsidRPr="00D8069C">
        <w:rPr>
          <w:color w:val="000000" w:themeColor="text1"/>
          <w:u w:color="FF0000"/>
        </w:rPr>
        <w:t>)</w:t>
      </w:r>
      <w:r w:rsidRPr="00D8069C">
        <w:rPr>
          <w:color w:val="000000" w:themeColor="text1"/>
        </w:rPr>
        <w:t xml:space="preserve">. As a complementary approach, samples were taken </w:t>
      </w:r>
      <w:r w:rsidR="00D8069C" w:rsidRPr="00D8069C">
        <w:rPr>
          <w:color w:val="000000" w:themeColor="text1"/>
        </w:rPr>
        <w:t>at</w:t>
      </w:r>
      <w:r w:rsidRPr="00D8069C">
        <w:rPr>
          <w:color w:val="000000" w:themeColor="text1"/>
        </w:rPr>
        <w:t xml:space="preserve"> 3</w:t>
      </w:r>
      <w:r w:rsidR="00D8069C" w:rsidRPr="00D8069C">
        <w:rPr>
          <w:color w:val="000000" w:themeColor="text1"/>
        </w:rPr>
        <w:t>–</w:t>
      </w:r>
      <w:r w:rsidRPr="00D8069C">
        <w:rPr>
          <w:color w:val="000000" w:themeColor="text1"/>
        </w:rPr>
        <w:t>4 more occasions during the 48</w:t>
      </w:r>
      <w:r w:rsidR="00D8069C" w:rsidRPr="00D8069C">
        <w:rPr>
          <w:color w:val="000000" w:themeColor="text1"/>
        </w:rPr>
        <w:t>–</w:t>
      </w:r>
      <w:r w:rsidRPr="00D8069C">
        <w:rPr>
          <w:color w:val="000000" w:themeColor="text1"/>
        </w:rPr>
        <w:t>72 h of incubation for flow cytometr</w:t>
      </w:r>
      <w:r w:rsidR="00D8069C" w:rsidRPr="00D8069C">
        <w:rPr>
          <w:color w:val="000000" w:themeColor="text1"/>
        </w:rPr>
        <w:t>y</w:t>
      </w:r>
      <w:r w:rsidRPr="00D8069C">
        <w:rPr>
          <w:color w:val="000000" w:themeColor="text1"/>
        </w:rPr>
        <w:t xml:space="preserve"> analyses of bacteria, FLB, HNF</w:t>
      </w:r>
      <w:r w:rsidR="00D8069C" w:rsidRPr="00D8069C">
        <w:rPr>
          <w:color w:val="000000" w:themeColor="text1"/>
        </w:rPr>
        <w:t>,</w:t>
      </w:r>
      <w:r w:rsidRPr="00D8069C">
        <w:rPr>
          <w:color w:val="000000" w:themeColor="text1"/>
        </w:rPr>
        <w:t xml:space="preserve"> and pigmented phytoplankton abundances during the experiment.</w:t>
      </w:r>
    </w:p>
    <w:p w:rsidR="00496457" w:rsidRPr="00F063D0" w:rsidRDefault="009A7CD9" w:rsidP="00F063D0">
      <w:pPr>
        <w:pStyle w:val="Paragraphestandard"/>
      </w:pPr>
      <w:r w:rsidRPr="00DD41EA">
        <w:t xml:space="preserve">Bacterial grazing rates will be calculated by substracting the disappearance of FLB in the bottles containing the HNF </w:t>
      </w:r>
      <w:r w:rsidR="00D8069C">
        <w:t xml:space="preserve">from </w:t>
      </w:r>
      <w:r w:rsidRPr="00DD41EA">
        <w:t>the FLB disappearance in the bottles without HNF. To complement the picture and for direct visualization of the organisms, samples for epifluorescence microscopy stained with DAPI were also taken for FLB and bacteria (10 m</w:t>
      </w:r>
      <w:r w:rsidR="00D8069C">
        <w:t>L</w:t>
      </w:r>
      <w:r w:rsidRPr="00DD41EA">
        <w:t>) and nanoplankton (45 m</w:t>
      </w:r>
      <w:r w:rsidR="00D8069C">
        <w:t>L</w:t>
      </w:r>
      <w:r w:rsidRPr="00DD41EA">
        <w:t>). All samples were kept frozen until analysis by flow cytometry and/or microscopy.</w:t>
      </w:r>
    </w:p>
    <w:p w:rsidR="00AE2BD6" w:rsidRDefault="00AE2BD6" w:rsidP="00D0498F">
      <w:pPr>
        <w:pStyle w:val="Titre2"/>
      </w:pPr>
      <w:r>
        <w:t>Analytical procedure</w:t>
      </w:r>
    </w:p>
    <w:p w:rsidR="0064095B" w:rsidRDefault="00390CB8" w:rsidP="0064095B">
      <w:pPr>
        <w:pStyle w:val="Paragraphestandard"/>
        <w:rPr>
          <w:rFonts w:eastAsia="Arial" w:cs="Arial"/>
        </w:rPr>
      </w:pPr>
      <w:r w:rsidRPr="00390CB8">
        <w:rPr>
          <w:lang w:eastAsia="fr-FR"/>
        </w:rPr>
        <w:t>Back in home lab, samples will be analysed with flow cytometry and/or epifluorescence microscopy</w:t>
      </w:r>
      <w:r w:rsidR="00513493">
        <w:rPr>
          <w:lang w:eastAsia="fr-FR"/>
        </w:rPr>
        <w:t>.</w:t>
      </w:r>
    </w:p>
    <w:p w:rsidR="00AE2BD6" w:rsidRDefault="00AE2BD6" w:rsidP="00D0498F">
      <w:pPr>
        <w:pStyle w:val="Titre2"/>
      </w:pPr>
      <w:r>
        <w:lastRenderedPageBreak/>
        <w:t>Units</w:t>
      </w:r>
    </w:p>
    <w:p w:rsidR="00F063D0" w:rsidRPr="00723725" w:rsidRDefault="00390CB8" w:rsidP="00390CB8">
      <w:pPr>
        <w:pStyle w:val="Paragraphestandard"/>
        <w:rPr>
          <w:color w:val="000000" w:themeColor="text1"/>
        </w:rPr>
      </w:pPr>
      <w:r w:rsidRPr="00723725">
        <w:rPr>
          <w:color w:val="000000" w:themeColor="text1"/>
        </w:rPr>
        <w:t>Specific grazing rates (d</w:t>
      </w:r>
      <w:r w:rsidRPr="00723725">
        <w:rPr>
          <w:color w:val="000000" w:themeColor="text1"/>
          <w:vertAlign w:val="superscript"/>
        </w:rPr>
        <w:t>–1</w:t>
      </w:r>
      <w:r w:rsidR="00B0038F" w:rsidRPr="00723725">
        <w:rPr>
          <w:color w:val="000000" w:themeColor="text1"/>
        </w:rPr>
        <w:t>) and community grazing rates (</w:t>
      </w:r>
      <w:r w:rsidRPr="00723725">
        <w:rPr>
          <w:color w:val="000000" w:themeColor="text1"/>
        </w:rPr>
        <w:t>B</w:t>
      </w:r>
      <w:r w:rsidR="00B0038F" w:rsidRPr="00723725">
        <w:rPr>
          <w:color w:val="000000" w:themeColor="text1"/>
        </w:rPr>
        <w:t>acteria</w:t>
      </w:r>
      <w:r w:rsidRPr="00723725">
        <w:rPr>
          <w:color w:val="000000" w:themeColor="text1"/>
        </w:rPr>
        <w:t xml:space="preserve"> ml</w:t>
      </w:r>
      <w:r w:rsidRPr="00723725">
        <w:rPr>
          <w:color w:val="000000" w:themeColor="text1"/>
          <w:vertAlign w:val="superscript"/>
        </w:rPr>
        <w:t>–1</w:t>
      </w:r>
      <w:r w:rsidRPr="00723725">
        <w:rPr>
          <w:color w:val="000000" w:themeColor="text1"/>
        </w:rPr>
        <w:t xml:space="preserve"> d</w:t>
      </w:r>
      <w:r w:rsidRPr="00723725">
        <w:rPr>
          <w:color w:val="000000" w:themeColor="text1"/>
          <w:vertAlign w:val="superscript"/>
        </w:rPr>
        <w:t>–1</w:t>
      </w:r>
      <w:r w:rsidRPr="00723725">
        <w:rPr>
          <w:color w:val="000000" w:themeColor="text1"/>
        </w:rPr>
        <w:t>)</w:t>
      </w:r>
    </w:p>
    <w:p w:rsidR="00AE2BD6" w:rsidRPr="00D0498F" w:rsidRDefault="00AE2BD6" w:rsidP="00D0498F">
      <w:pPr>
        <w:pStyle w:val="Titre2"/>
      </w:pPr>
      <w:r w:rsidRPr="00D0498F">
        <w:t>Sensor precision</w:t>
      </w:r>
    </w:p>
    <w:p w:rsidR="00D0498F" w:rsidRPr="00D0498F" w:rsidRDefault="00D0498F" w:rsidP="00D0498F">
      <w:pPr>
        <w:pStyle w:val="Paragraphestandard"/>
      </w:pPr>
      <w:r>
        <w:t>N/A</w:t>
      </w:r>
    </w:p>
    <w:p w:rsidR="00AE2BD6" w:rsidRDefault="00AE2BD6" w:rsidP="00D0498F">
      <w:pPr>
        <w:pStyle w:val="Titre2"/>
      </w:pPr>
      <w:r w:rsidRPr="00AE2BD6">
        <w:t>Post-cruise data analysis/treatment required</w:t>
      </w:r>
    </w:p>
    <w:p w:rsidR="00D0498F" w:rsidRPr="00D0498F" w:rsidRDefault="00D0498F" w:rsidP="00D0498F">
      <w:pPr>
        <w:pStyle w:val="Paragraphestandard"/>
      </w:pPr>
      <w:r>
        <w:t>N/A</w:t>
      </w:r>
    </w:p>
    <w:p w:rsidR="00AE2BD6" w:rsidRDefault="00AE2BD6" w:rsidP="00D0498F">
      <w:pPr>
        <w:pStyle w:val="Titre2"/>
      </w:pPr>
      <w:r w:rsidRPr="00AE2BD6">
        <w:t>Estimated Date of Delivery</w:t>
      </w:r>
    </w:p>
    <w:p w:rsidR="00D0498F" w:rsidRPr="00D0498F" w:rsidRDefault="003D7061" w:rsidP="00D0498F">
      <w:pPr>
        <w:pStyle w:val="Paragraphestandard"/>
      </w:pPr>
      <w:r>
        <w:t>Spring</w:t>
      </w:r>
      <w:r w:rsidR="00F063D0">
        <w:t xml:space="preserve"> 2019</w:t>
      </w:r>
      <w:r w:rsidR="004F1AEF">
        <w:t>.</w:t>
      </w:r>
    </w:p>
    <w:p w:rsidR="00AE2BD6" w:rsidRDefault="00D0498F" w:rsidP="00D0498F">
      <w:pPr>
        <w:pStyle w:val="Titre1"/>
      </w:pPr>
      <w:r w:rsidRPr="00D0498F">
        <w:t>BIBLIOGRAPHY</w:t>
      </w:r>
    </w:p>
    <w:p w:rsidR="00F063D0" w:rsidRDefault="00F063D0" w:rsidP="00D0498F">
      <w:pPr>
        <w:widowControl w:val="0"/>
        <w:ind w:left="993" w:hanging="993"/>
        <w:jc w:val="both"/>
        <w:rPr>
          <w:rFonts w:ascii="Arial" w:hAnsi="Arial"/>
          <w:sz w:val="22"/>
          <w:szCs w:val="22"/>
          <w:lang w:val="en-US"/>
        </w:rPr>
      </w:pPr>
    </w:p>
    <w:p w:rsidR="00D8069C" w:rsidRDefault="00D8069C" w:rsidP="00D8069C">
      <w:pPr>
        <w:widowControl w:val="0"/>
        <w:ind w:left="993" w:hanging="993"/>
        <w:jc w:val="both"/>
        <w:rPr>
          <w:rFonts w:ascii="Arial" w:hAnsi="Arial"/>
          <w:sz w:val="22"/>
          <w:szCs w:val="22"/>
          <w:lang w:val="en-US"/>
        </w:rPr>
      </w:pPr>
      <w:r w:rsidRPr="00D8069C">
        <w:rPr>
          <w:rFonts w:ascii="Arial" w:hAnsi="Arial"/>
          <w:sz w:val="22"/>
          <w:szCs w:val="22"/>
        </w:rPr>
        <w:t>Dolan J.R., Šimek K., 1999</w:t>
      </w:r>
      <w:r>
        <w:rPr>
          <w:rFonts w:ascii="Arial" w:hAnsi="Arial"/>
          <w:sz w:val="22"/>
          <w:szCs w:val="22"/>
        </w:rPr>
        <w:t>.</w:t>
      </w:r>
      <w:r w:rsidRPr="00D8069C">
        <w:rPr>
          <w:rFonts w:ascii="Arial" w:hAnsi="Arial"/>
          <w:sz w:val="22"/>
          <w:szCs w:val="22"/>
        </w:rPr>
        <w:t xml:space="preserve"> </w:t>
      </w:r>
      <w:r w:rsidRPr="00D8069C">
        <w:rPr>
          <w:rFonts w:ascii="Arial" w:hAnsi="Arial"/>
          <w:sz w:val="22"/>
          <w:szCs w:val="22"/>
          <w:lang w:val="en-US"/>
        </w:rPr>
        <w:t xml:space="preserve">Diel Periodicity in </w:t>
      </w:r>
      <w:r w:rsidRPr="00D8069C">
        <w:rPr>
          <w:rFonts w:ascii="Arial" w:hAnsi="Arial"/>
          <w:i/>
          <w:sz w:val="22"/>
          <w:szCs w:val="22"/>
          <w:lang w:val="en-US"/>
        </w:rPr>
        <w:t>Synechococcus</w:t>
      </w:r>
      <w:r w:rsidRPr="00D8069C">
        <w:rPr>
          <w:rFonts w:ascii="Arial" w:hAnsi="Arial"/>
          <w:sz w:val="22"/>
          <w:szCs w:val="22"/>
          <w:lang w:val="en-US"/>
        </w:rPr>
        <w:t xml:space="preserve"> populations and grazing by heterotrophic nanoflagellates: Analysis o</w:t>
      </w:r>
      <w:r>
        <w:rPr>
          <w:rFonts w:ascii="Arial" w:hAnsi="Arial"/>
          <w:sz w:val="22"/>
          <w:szCs w:val="22"/>
          <w:lang w:val="en-US"/>
        </w:rPr>
        <w:t xml:space="preserve">f food vacuole contents. </w:t>
      </w:r>
      <w:r w:rsidRPr="00D8069C">
        <w:rPr>
          <w:rFonts w:ascii="Arial" w:hAnsi="Arial"/>
          <w:i/>
          <w:sz w:val="22"/>
          <w:szCs w:val="22"/>
          <w:lang w:val="en-US"/>
        </w:rPr>
        <w:t>Limnology &amp; Oceanography</w:t>
      </w:r>
      <w:r>
        <w:rPr>
          <w:rFonts w:ascii="Arial" w:hAnsi="Arial"/>
          <w:sz w:val="22"/>
          <w:szCs w:val="22"/>
          <w:lang w:val="en-US"/>
        </w:rPr>
        <w:t xml:space="preserve">, </w:t>
      </w:r>
      <w:r w:rsidRPr="00D8069C">
        <w:rPr>
          <w:rFonts w:ascii="Arial" w:hAnsi="Arial"/>
          <w:b/>
          <w:sz w:val="22"/>
          <w:szCs w:val="22"/>
          <w:lang w:val="en-US"/>
        </w:rPr>
        <w:t>44</w:t>
      </w:r>
      <w:r>
        <w:rPr>
          <w:rFonts w:ascii="Arial" w:hAnsi="Arial"/>
          <w:sz w:val="22"/>
          <w:szCs w:val="22"/>
          <w:lang w:val="en-US"/>
        </w:rPr>
        <w:t>,</w:t>
      </w:r>
      <w:r w:rsidRPr="00D8069C">
        <w:rPr>
          <w:rFonts w:ascii="Arial" w:hAnsi="Arial"/>
          <w:sz w:val="22"/>
          <w:szCs w:val="22"/>
          <w:lang w:val="en-US"/>
        </w:rPr>
        <w:t xml:space="preserve"> 1565–1570.</w:t>
      </w:r>
    </w:p>
    <w:p w:rsidR="00D8069C" w:rsidRPr="00D8069C" w:rsidRDefault="00D8069C" w:rsidP="00D8069C">
      <w:pPr>
        <w:widowControl w:val="0"/>
        <w:ind w:left="993" w:hanging="993"/>
        <w:jc w:val="both"/>
        <w:rPr>
          <w:rFonts w:ascii="Arial" w:hAnsi="Arial"/>
          <w:sz w:val="22"/>
          <w:szCs w:val="22"/>
          <w:lang w:val="en-US"/>
        </w:rPr>
      </w:pPr>
    </w:p>
    <w:p w:rsidR="00D8069C" w:rsidRDefault="00D8069C" w:rsidP="00FA7057">
      <w:pPr>
        <w:widowControl w:val="0"/>
        <w:ind w:left="993" w:hanging="993"/>
        <w:jc w:val="both"/>
        <w:rPr>
          <w:rFonts w:ascii="Arial" w:hAnsi="Arial"/>
          <w:sz w:val="22"/>
          <w:szCs w:val="22"/>
          <w:lang w:val="en-US"/>
        </w:rPr>
      </w:pPr>
      <w:r w:rsidRPr="00B0038F">
        <w:rPr>
          <w:rFonts w:ascii="Arial" w:hAnsi="Arial"/>
          <w:sz w:val="22"/>
          <w:szCs w:val="22"/>
          <w:lang w:val="en-US"/>
        </w:rPr>
        <w:t xml:space="preserve">Marie </w:t>
      </w:r>
      <w:r w:rsidR="00006E9A" w:rsidRPr="00B0038F">
        <w:rPr>
          <w:rFonts w:ascii="Arial" w:hAnsi="Arial"/>
          <w:sz w:val="22"/>
          <w:szCs w:val="22"/>
          <w:lang w:val="en-US"/>
        </w:rPr>
        <w:t>D., Partensky F., Vaulot D., Brussaard C.</w:t>
      </w:r>
      <w:r w:rsidR="00FA7057" w:rsidRPr="00B0038F">
        <w:rPr>
          <w:rFonts w:ascii="Arial" w:hAnsi="Arial"/>
          <w:sz w:val="22"/>
          <w:szCs w:val="22"/>
          <w:lang w:val="en-US"/>
        </w:rPr>
        <w:t>,</w:t>
      </w:r>
      <w:r w:rsidRPr="00B0038F">
        <w:rPr>
          <w:rFonts w:ascii="Arial" w:hAnsi="Arial"/>
          <w:sz w:val="22"/>
          <w:szCs w:val="22"/>
          <w:lang w:val="en-US"/>
        </w:rPr>
        <w:t xml:space="preserve"> 1999. </w:t>
      </w:r>
      <w:r w:rsidR="00FA7057" w:rsidRPr="00FA7057">
        <w:rPr>
          <w:rFonts w:ascii="Arial" w:hAnsi="Arial"/>
          <w:sz w:val="22"/>
          <w:szCs w:val="22"/>
          <w:lang w:val="en-US"/>
        </w:rPr>
        <w:t>Enumeration of Phytoplankton, Bacteria,</w:t>
      </w:r>
      <w:r w:rsidR="00FA7057">
        <w:rPr>
          <w:rFonts w:ascii="Arial" w:hAnsi="Arial"/>
          <w:sz w:val="22"/>
          <w:szCs w:val="22"/>
          <w:lang w:val="en-US"/>
        </w:rPr>
        <w:t xml:space="preserve"> </w:t>
      </w:r>
      <w:r w:rsidR="00FA7057" w:rsidRPr="00FA7057">
        <w:rPr>
          <w:rFonts w:ascii="Arial" w:hAnsi="Arial"/>
          <w:sz w:val="22"/>
          <w:szCs w:val="22"/>
          <w:lang w:val="en-US"/>
        </w:rPr>
        <w:t>and Viruses in Marine Samples</w:t>
      </w:r>
      <w:r w:rsidR="00FA7057">
        <w:rPr>
          <w:rFonts w:ascii="Arial" w:hAnsi="Arial"/>
          <w:sz w:val="22"/>
          <w:szCs w:val="22"/>
          <w:lang w:val="en-US"/>
        </w:rPr>
        <w:t xml:space="preserve">, </w:t>
      </w:r>
      <w:r w:rsidRPr="00D8069C">
        <w:rPr>
          <w:rFonts w:ascii="Arial" w:hAnsi="Arial"/>
          <w:sz w:val="22"/>
          <w:szCs w:val="22"/>
          <w:lang w:val="en-US"/>
        </w:rPr>
        <w:t>in: Current Protocols in Cytometry, , Robinson J.</w:t>
      </w:r>
      <w:r w:rsidR="00FA7057">
        <w:rPr>
          <w:rFonts w:ascii="Arial" w:hAnsi="Arial"/>
          <w:sz w:val="22"/>
          <w:szCs w:val="22"/>
          <w:lang w:val="en-US"/>
        </w:rPr>
        <w:t xml:space="preserve"> (ed.)</w:t>
      </w:r>
      <w:r w:rsidRPr="00D8069C">
        <w:rPr>
          <w:rFonts w:ascii="Arial" w:hAnsi="Arial"/>
          <w:sz w:val="22"/>
          <w:szCs w:val="22"/>
          <w:lang w:val="en-US"/>
        </w:rPr>
        <w:t xml:space="preserve">, </w:t>
      </w:r>
      <w:r w:rsidR="00FA7057" w:rsidRPr="00D8069C">
        <w:rPr>
          <w:rFonts w:ascii="Arial" w:hAnsi="Arial"/>
          <w:sz w:val="22"/>
          <w:szCs w:val="22"/>
          <w:lang w:val="en-US"/>
        </w:rPr>
        <w:t xml:space="preserve">John Wiley and Sons </w:t>
      </w:r>
      <w:r w:rsidRPr="00D8069C">
        <w:rPr>
          <w:rFonts w:ascii="Arial" w:hAnsi="Arial"/>
          <w:sz w:val="22"/>
          <w:szCs w:val="22"/>
          <w:lang w:val="en-US"/>
        </w:rPr>
        <w:t>Inc</w:t>
      </w:r>
      <w:r w:rsidR="00FA7057">
        <w:rPr>
          <w:rFonts w:ascii="Arial" w:hAnsi="Arial"/>
          <w:sz w:val="22"/>
          <w:szCs w:val="22"/>
          <w:lang w:val="en-US"/>
        </w:rPr>
        <w:t>.</w:t>
      </w:r>
      <w:r w:rsidRPr="00D8069C">
        <w:rPr>
          <w:rFonts w:ascii="Arial" w:hAnsi="Arial"/>
          <w:sz w:val="22"/>
          <w:szCs w:val="22"/>
          <w:lang w:val="en-US"/>
        </w:rPr>
        <w:t>, New York., 1–15, 1999.</w:t>
      </w:r>
    </w:p>
    <w:p w:rsidR="00D8069C" w:rsidRPr="00D8069C" w:rsidRDefault="00D8069C" w:rsidP="00D8069C">
      <w:pPr>
        <w:widowControl w:val="0"/>
        <w:ind w:left="993" w:hanging="993"/>
        <w:jc w:val="both"/>
        <w:rPr>
          <w:rFonts w:ascii="Arial" w:hAnsi="Arial"/>
          <w:sz w:val="22"/>
          <w:szCs w:val="22"/>
          <w:lang w:val="en-US"/>
        </w:rPr>
      </w:pPr>
    </w:p>
    <w:p w:rsidR="00D8069C" w:rsidRDefault="00D8069C" w:rsidP="00D8069C">
      <w:pPr>
        <w:widowControl w:val="0"/>
        <w:ind w:left="993" w:hanging="993"/>
        <w:jc w:val="both"/>
        <w:rPr>
          <w:rFonts w:ascii="Arial" w:hAnsi="Arial"/>
          <w:sz w:val="22"/>
          <w:szCs w:val="22"/>
          <w:lang w:val="en-US"/>
        </w:rPr>
      </w:pPr>
      <w:r w:rsidRPr="00D8069C">
        <w:rPr>
          <w:rFonts w:ascii="Arial" w:hAnsi="Arial"/>
          <w:sz w:val="22"/>
          <w:szCs w:val="22"/>
        </w:rPr>
        <w:t>Vazquez-Dominguez E., Peters F., Gasol J.M., Vaqué D.,</w:t>
      </w:r>
      <w:r>
        <w:rPr>
          <w:rFonts w:ascii="Arial" w:hAnsi="Arial"/>
          <w:sz w:val="22"/>
          <w:szCs w:val="22"/>
        </w:rPr>
        <w:t xml:space="preserve"> </w:t>
      </w:r>
      <w:r w:rsidRPr="00D8069C">
        <w:rPr>
          <w:rFonts w:ascii="Arial" w:hAnsi="Arial"/>
          <w:sz w:val="22"/>
          <w:szCs w:val="22"/>
        </w:rPr>
        <w:t>1999</w:t>
      </w:r>
      <w:r>
        <w:rPr>
          <w:rFonts w:ascii="Arial" w:hAnsi="Arial"/>
          <w:sz w:val="22"/>
          <w:szCs w:val="22"/>
        </w:rPr>
        <w:t>.</w:t>
      </w:r>
      <w:r w:rsidRPr="00D8069C">
        <w:rPr>
          <w:rFonts w:ascii="Arial" w:hAnsi="Arial"/>
          <w:sz w:val="22"/>
          <w:szCs w:val="22"/>
        </w:rPr>
        <w:t xml:space="preserve"> </w:t>
      </w:r>
      <w:r w:rsidRPr="00D8069C">
        <w:rPr>
          <w:rFonts w:ascii="Arial" w:hAnsi="Arial"/>
          <w:sz w:val="22"/>
          <w:szCs w:val="22"/>
          <w:lang w:val="en-US"/>
        </w:rPr>
        <w:t xml:space="preserve">Measuring the grazing losses of picoplankton: methodological improvements in the use of fluorescently labeled tracers combined with flow cytometry. </w:t>
      </w:r>
      <w:r w:rsidRPr="00D8069C">
        <w:rPr>
          <w:rFonts w:ascii="Arial" w:hAnsi="Arial"/>
          <w:i/>
          <w:sz w:val="22"/>
          <w:szCs w:val="22"/>
          <w:lang w:val="en-US"/>
        </w:rPr>
        <w:t>Aquatic Microbial Ecology</w:t>
      </w:r>
      <w:r>
        <w:rPr>
          <w:rFonts w:ascii="Arial" w:hAnsi="Arial"/>
          <w:sz w:val="22"/>
          <w:szCs w:val="22"/>
          <w:lang w:val="en-US"/>
        </w:rPr>
        <w:t>,</w:t>
      </w:r>
      <w:r w:rsidRPr="00D8069C">
        <w:rPr>
          <w:rFonts w:ascii="Arial" w:hAnsi="Arial"/>
          <w:sz w:val="22"/>
          <w:szCs w:val="22"/>
          <w:lang w:val="en-US"/>
        </w:rPr>
        <w:t xml:space="preserve"> </w:t>
      </w:r>
      <w:r w:rsidRPr="00D8069C">
        <w:rPr>
          <w:rFonts w:ascii="Arial" w:hAnsi="Arial"/>
          <w:b/>
          <w:sz w:val="22"/>
          <w:szCs w:val="22"/>
          <w:lang w:val="en-US"/>
        </w:rPr>
        <w:t>20</w:t>
      </w:r>
      <w:r>
        <w:rPr>
          <w:rFonts w:ascii="Arial" w:hAnsi="Arial"/>
          <w:sz w:val="22"/>
          <w:szCs w:val="22"/>
          <w:lang w:val="en-US"/>
        </w:rPr>
        <w:t>,</w:t>
      </w:r>
      <w:r w:rsidRPr="00D8069C">
        <w:rPr>
          <w:rFonts w:ascii="Arial" w:hAnsi="Arial"/>
          <w:sz w:val="22"/>
          <w:szCs w:val="22"/>
          <w:lang w:val="en-US"/>
        </w:rPr>
        <w:t xml:space="preserve"> 119–128.</w:t>
      </w:r>
    </w:p>
    <w:p w:rsidR="00D8069C" w:rsidRDefault="00D8069C" w:rsidP="00D8069C">
      <w:pPr>
        <w:widowControl w:val="0"/>
        <w:ind w:left="993" w:hanging="993"/>
        <w:jc w:val="both"/>
        <w:rPr>
          <w:rFonts w:ascii="Arial" w:hAnsi="Arial"/>
          <w:sz w:val="22"/>
          <w:szCs w:val="22"/>
          <w:lang w:val="en-US"/>
        </w:rPr>
      </w:pPr>
    </w:p>
    <w:p w:rsidR="00D8069C" w:rsidRPr="00D8069C" w:rsidRDefault="00D8069C" w:rsidP="00D8069C">
      <w:pPr>
        <w:widowControl w:val="0"/>
        <w:ind w:left="993" w:hanging="993"/>
        <w:jc w:val="both"/>
        <w:rPr>
          <w:rFonts w:ascii="Arial" w:hAnsi="Arial"/>
          <w:sz w:val="22"/>
          <w:szCs w:val="22"/>
          <w:lang w:val="en-US"/>
        </w:rPr>
      </w:pPr>
      <w:r w:rsidRPr="00D8069C">
        <w:rPr>
          <w:rFonts w:ascii="Arial" w:hAnsi="Arial"/>
          <w:sz w:val="22"/>
          <w:szCs w:val="22"/>
          <w:lang w:val="en-US"/>
        </w:rPr>
        <w:t>Christaki U., Giannakourou A.,</w:t>
      </w:r>
      <w:r>
        <w:rPr>
          <w:rFonts w:ascii="Arial" w:hAnsi="Arial"/>
          <w:sz w:val="22"/>
          <w:szCs w:val="22"/>
          <w:lang w:val="en-US"/>
        </w:rPr>
        <w:t xml:space="preserve"> </w:t>
      </w:r>
      <w:r w:rsidRPr="00D8069C">
        <w:rPr>
          <w:rFonts w:ascii="Arial" w:hAnsi="Arial"/>
          <w:sz w:val="22"/>
          <w:szCs w:val="22"/>
          <w:lang w:val="en-US"/>
        </w:rPr>
        <w:t>Van Wambeke F.,</w:t>
      </w:r>
      <w:r>
        <w:rPr>
          <w:rFonts w:ascii="Arial" w:hAnsi="Arial"/>
          <w:sz w:val="22"/>
          <w:szCs w:val="22"/>
          <w:lang w:val="en-US"/>
        </w:rPr>
        <w:t xml:space="preserve"> </w:t>
      </w:r>
      <w:r w:rsidRPr="00D8069C">
        <w:rPr>
          <w:rFonts w:ascii="Arial" w:hAnsi="Arial"/>
          <w:sz w:val="22"/>
          <w:szCs w:val="22"/>
          <w:lang w:val="en-US"/>
        </w:rPr>
        <w:t xml:space="preserve">Grégori G., 2001. Nanoflagellate predation on auto- and heterotrophic picoplankton in the oligotrophic Mediterranean Sea. </w:t>
      </w:r>
      <w:r w:rsidRPr="00D8069C">
        <w:rPr>
          <w:rFonts w:ascii="Arial" w:hAnsi="Arial"/>
          <w:i/>
          <w:sz w:val="22"/>
          <w:szCs w:val="22"/>
          <w:lang w:val="en-US"/>
        </w:rPr>
        <w:t>Journal of Plankton Research</w:t>
      </w:r>
      <w:r>
        <w:rPr>
          <w:rFonts w:ascii="Arial" w:hAnsi="Arial"/>
          <w:sz w:val="22"/>
          <w:szCs w:val="22"/>
          <w:lang w:val="en-US"/>
        </w:rPr>
        <w:t xml:space="preserve">, </w:t>
      </w:r>
      <w:r w:rsidRPr="00D8069C">
        <w:rPr>
          <w:rFonts w:ascii="Arial" w:hAnsi="Arial"/>
          <w:b/>
          <w:sz w:val="22"/>
          <w:szCs w:val="22"/>
          <w:lang w:val="en-US"/>
        </w:rPr>
        <w:t>23</w:t>
      </w:r>
      <w:r w:rsidRPr="00D8069C">
        <w:rPr>
          <w:rFonts w:ascii="Arial" w:hAnsi="Arial"/>
          <w:sz w:val="22"/>
          <w:szCs w:val="22"/>
          <w:lang w:val="en-US"/>
        </w:rPr>
        <w:t>(11)</w:t>
      </w:r>
      <w:r w:rsidR="005E7210">
        <w:rPr>
          <w:rFonts w:ascii="Arial" w:hAnsi="Arial"/>
          <w:sz w:val="22"/>
          <w:szCs w:val="22"/>
          <w:lang w:val="en-US"/>
        </w:rPr>
        <w:t>,</w:t>
      </w:r>
      <w:r w:rsidRPr="00D8069C">
        <w:rPr>
          <w:rFonts w:ascii="Arial" w:hAnsi="Arial"/>
          <w:sz w:val="22"/>
          <w:szCs w:val="22"/>
          <w:lang w:val="en-US"/>
        </w:rPr>
        <w:t xml:space="preserve"> 1297-1310.</w:t>
      </w:r>
    </w:p>
    <w:p w:rsidR="00D8069C" w:rsidRPr="00FA7057" w:rsidRDefault="00D8069C" w:rsidP="00D8069C">
      <w:pPr>
        <w:widowControl w:val="0"/>
        <w:ind w:left="993" w:hanging="993"/>
        <w:jc w:val="both"/>
        <w:rPr>
          <w:rFonts w:ascii="Arial" w:hAnsi="Arial"/>
          <w:sz w:val="22"/>
          <w:szCs w:val="22"/>
          <w:lang w:val="en-US"/>
        </w:rPr>
      </w:pPr>
    </w:p>
    <w:p w:rsidR="00006E9A" w:rsidRPr="00FA7057" w:rsidRDefault="00D8069C" w:rsidP="005E7210">
      <w:pPr>
        <w:widowControl w:val="0"/>
        <w:ind w:left="993" w:hanging="993"/>
        <w:jc w:val="both"/>
        <w:rPr>
          <w:rFonts w:ascii="Arial" w:hAnsi="Arial"/>
          <w:sz w:val="22"/>
          <w:szCs w:val="22"/>
          <w:lang w:val="en-US"/>
        </w:rPr>
      </w:pPr>
      <w:r w:rsidRPr="00FA7057">
        <w:rPr>
          <w:rFonts w:ascii="Arial" w:hAnsi="Arial"/>
          <w:sz w:val="22"/>
          <w:szCs w:val="22"/>
          <w:lang w:val="en-US"/>
        </w:rPr>
        <w:t>Brussaard</w:t>
      </w:r>
      <w:r w:rsidR="00FA7057" w:rsidRPr="00FA7057">
        <w:rPr>
          <w:rFonts w:ascii="Arial" w:hAnsi="Arial"/>
          <w:sz w:val="22"/>
          <w:szCs w:val="22"/>
          <w:lang w:val="en-US"/>
        </w:rPr>
        <w:t xml:space="preserve"> C.</w:t>
      </w:r>
      <w:r w:rsidRPr="00FA7057">
        <w:rPr>
          <w:rFonts w:ascii="Arial" w:hAnsi="Arial"/>
          <w:sz w:val="22"/>
          <w:szCs w:val="22"/>
          <w:lang w:val="en-US"/>
        </w:rPr>
        <w:t xml:space="preserve">, 2004.  </w:t>
      </w:r>
      <w:r w:rsidR="00FA7057" w:rsidRPr="00FA7057">
        <w:rPr>
          <w:rFonts w:ascii="Arial" w:hAnsi="Arial"/>
          <w:sz w:val="22"/>
          <w:szCs w:val="22"/>
          <w:lang w:val="en-US"/>
        </w:rPr>
        <w:t>Optimization of procedures for counting viruses by flow cytometry</w:t>
      </w:r>
      <w:r w:rsidR="00FA7057">
        <w:rPr>
          <w:rFonts w:ascii="Arial" w:hAnsi="Arial"/>
          <w:sz w:val="22"/>
          <w:szCs w:val="22"/>
          <w:lang w:val="en-US"/>
        </w:rPr>
        <w:t xml:space="preserve">. </w:t>
      </w:r>
      <w:r w:rsidRPr="00FA7057">
        <w:rPr>
          <w:rFonts w:ascii="Arial" w:hAnsi="Arial"/>
          <w:sz w:val="22"/>
          <w:szCs w:val="22"/>
          <w:lang w:val="en-US"/>
        </w:rPr>
        <w:t>Appl</w:t>
      </w:r>
      <w:r w:rsidR="00FA7057">
        <w:rPr>
          <w:rFonts w:ascii="Arial" w:hAnsi="Arial"/>
          <w:sz w:val="22"/>
          <w:szCs w:val="22"/>
          <w:lang w:val="en-US"/>
        </w:rPr>
        <w:t>ied and</w:t>
      </w:r>
      <w:r w:rsidRPr="00FA7057">
        <w:rPr>
          <w:rFonts w:ascii="Arial" w:hAnsi="Arial"/>
          <w:sz w:val="22"/>
          <w:szCs w:val="22"/>
          <w:lang w:val="en-US"/>
        </w:rPr>
        <w:t xml:space="preserve"> Environ</w:t>
      </w:r>
      <w:r w:rsidR="00FA7057">
        <w:rPr>
          <w:rFonts w:ascii="Arial" w:hAnsi="Arial"/>
          <w:sz w:val="22"/>
          <w:szCs w:val="22"/>
          <w:lang w:val="en-US"/>
        </w:rPr>
        <w:t>mental</w:t>
      </w:r>
      <w:r w:rsidRPr="00FA7057">
        <w:rPr>
          <w:rFonts w:ascii="Arial" w:hAnsi="Arial"/>
          <w:sz w:val="22"/>
          <w:szCs w:val="22"/>
          <w:lang w:val="en-US"/>
        </w:rPr>
        <w:t xml:space="preserve"> Microbiol</w:t>
      </w:r>
      <w:r w:rsidR="00FA7057">
        <w:rPr>
          <w:rFonts w:ascii="Arial" w:hAnsi="Arial"/>
          <w:sz w:val="22"/>
          <w:szCs w:val="22"/>
          <w:lang w:val="en-US"/>
        </w:rPr>
        <w:t>ogy</w:t>
      </w:r>
      <w:r w:rsidRPr="00FA7057">
        <w:rPr>
          <w:rFonts w:ascii="Arial" w:hAnsi="Arial"/>
          <w:sz w:val="22"/>
          <w:szCs w:val="22"/>
          <w:lang w:val="en-US"/>
        </w:rPr>
        <w:t xml:space="preserve">, </w:t>
      </w:r>
      <w:r w:rsidRPr="00FA7057">
        <w:rPr>
          <w:rFonts w:ascii="Arial" w:hAnsi="Arial"/>
          <w:b/>
          <w:sz w:val="22"/>
          <w:szCs w:val="22"/>
          <w:lang w:val="en-US"/>
        </w:rPr>
        <w:t>70</w:t>
      </w:r>
      <w:r w:rsidRPr="00FA7057">
        <w:rPr>
          <w:rFonts w:ascii="Arial" w:hAnsi="Arial"/>
          <w:sz w:val="22"/>
          <w:szCs w:val="22"/>
          <w:lang w:val="en-US"/>
        </w:rPr>
        <w:t>, 1506–1513</w:t>
      </w:r>
      <w:r w:rsidR="00FA7057">
        <w:rPr>
          <w:rFonts w:ascii="Arial" w:hAnsi="Arial"/>
          <w:sz w:val="22"/>
          <w:szCs w:val="22"/>
          <w:lang w:val="en-US"/>
        </w:rPr>
        <w:t>.</w:t>
      </w:r>
    </w:p>
    <w:p w:rsidR="00006E9A" w:rsidRPr="00FA7057" w:rsidRDefault="00006E9A" w:rsidP="005E7210">
      <w:pPr>
        <w:widowControl w:val="0"/>
        <w:ind w:left="993" w:hanging="993"/>
        <w:jc w:val="both"/>
        <w:rPr>
          <w:rFonts w:ascii="Arial" w:hAnsi="Arial"/>
          <w:sz w:val="22"/>
          <w:szCs w:val="22"/>
          <w:lang w:val="en-US"/>
        </w:rPr>
      </w:pPr>
    </w:p>
    <w:p w:rsidR="005E7210" w:rsidRDefault="005E7210" w:rsidP="005E7210">
      <w:pPr>
        <w:widowControl w:val="0"/>
        <w:ind w:left="993" w:hanging="993"/>
        <w:jc w:val="both"/>
        <w:rPr>
          <w:rFonts w:ascii="Arial" w:hAnsi="Arial"/>
          <w:sz w:val="22"/>
          <w:szCs w:val="22"/>
          <w:lang w:val="en-US"/>
        </w:rPr>
      </w:pPr>
      <w:r w:rsidRPr="005E7210">
        <w:rPr>
          <w:rFonts w:ascii="Arial" w:hAnsi="Arial"/>
          <w:sz w:val="22"/>
          <w:szCs w:val="22"/>
          <w:lang w:val="en-US"/>
        </w:rPr>
        <w:t xml:space="preserve">Christaki </w:t>
      </w:r>
      <w:r>
        <w:rPr>
          <w:rFonts w:ascii="Arial" w:hAnsi="Arial"/>
          <w:sz w:val="22"/>
          <w:szCs w:val="22"/>
          <w:lang w:val="en-US"/>
        </w:rPr>
        <w:t xml:space="preserve">U., Courties C., Massana R., Catala P., Lebaron P., Gasol J.M., Zubkov M.V., 2011. </w:t>
      </w:r>
      <w:r w:rsidRPr="005E7210">
        <w:rPr>
          <w:rFonts w:ascii="Arial" w:hAnsi="Arial"/>
          <w:sz w:val="22"/>
          <w:szCs w:val="22"/>
          <w:lang w:val="en-US"/>
        </w:rPr>
        <w:t>Optimized routine flow cytometric enumeration of heterotrophic flagellates using SYBR Green I</w:t>
      </w:r>
      <w:r>
        <w:rPr>
          <w:rFonts w:ascii="Arial" w:hAnsi="Arial"/>
          <w:sz w:val="22"/>
          <w:szCs w:val="22"/>
          <w:lang w:val="en-US"/>
        </w:rPr>
        <w:t xml:space="preserve">. </w:t>
      </w:r>
      <w:r w:rsidRPr="00D8069C">
        <w:rPr>
          <w:rFonts w:ascii="Arial" w:hAnsi="Arial"/>
          <w:i/>
          <w:sz w:val="22"/>
          <w:szCs w:val="22"/>
          <w:lang w:val="en-US"/>
        </w:rPr>
        <w:t>Limnology &amp; Oceanography</w:t>
      </w:r>
      <w:r>
        <w:rPr>
          <w:rFonts w:ascii="Arial" w:hAnsi="Arial"/>
          <w:i/>
          <w:sz w:val="22"/>
          <w:szCs w:val="22"/>
          <w:lang w:val="en-US"/>
        </w:rPr>
        <w:t>: Methods</w:t>
      </w:r>
      <w:r>
        <w:rPr>
          <w:rFonts w:ascii="Arial" w:hAnsi="Arial"/>
          <w:sz w:val="22"/>
          <w:szCs w:val="22"/>
          <w:lang w:val="en-US"/>
        </w:rPr>
        <w:t xml:space="preserve">, </w:t>
      </w:r>
      <w:r>
        <w:rPr>
          <w:rFonts w:ascii="Arial" w:hAnsi="Arial"/>
          <w:b/>
          <w:sz w:val="22"/>
          <w:szCs w:val="22"/>
          <w:lang w:val="en-US"/>
        </w:rPr>
        <w:t>9</w:t>
      </w:r>
      <w:r>
        <w:rPr>
          <w:rFonts w:ascii="Arial" w:hAnsi="Arial"/>
          <w:sz w:val="22"/>
          <w:szCs w:val="22"/>
          <w:lang w:val="en-US"/>
        </w:rPr>
        <w:t>,</w:t>
      </w:r>
      <w:r w:rsidRPr="00D8069C">
        <w:rPr>
          <w:rFonts w:ascii="Arial" w:hAnsi="Arial"/>
          <w:sz w:val="22"/>
          <w:szCs w:val="22"/>
          <w:lang w:val="en-US"/>
        </w:rPr>
        <w:t xml:space="preserve"> </w:t>
      </w:r>
      <w:r>
        <w:rPr>
          <w:rFonts w:ascii="Arial" w:hAnsi="Arial"/>
          <w:sz w:val="22"/>
          <w:szCs w:val="22"/>
          <w:lang w:val="en-US"/>
        </w:rPr>
        <w:t>329</w:t>
      </w:r>
      <w:r w:rsidRPr="00D8069C">
        <w:rPr>
          <w:rFonts w:ascii="Arial" w:hAnsi="Arial"/>
          <w:sz w:val="22"/>
          <w:szCs w:val="22"/>
          <w:lang w:val="en-US"/>
        </w:rPr>
        <w:t>–</w:t>
      </w:r>
      <w:r>
        <w:rPr>
          <w:rFonts w:ascii="Arial" w:hAnsi="Arial"/>
          <w:sz w:val="22"/>
          <w:szCs w:val="22"/>
          <w:lang w:val="en-US"/>
        </w:rPr>
        <w:t>339</w:t>
      </w:r>
    </w:p>
    <w:p w:rsidR="005E7210" w:rsidRPr="005E7210" w:rsidRDefault="005E7210" w:rsidP="005E7210">
      <w:pPr>
        <w:widowControl w:val="0"/>
        <w:ind w:left="993" w:hanging="993"/>
        <w:jc w:val="both"/>
        <w:rPr>
          <w:rFonts w:ascii="Arial" w:hAnsi="Arial"/>
          <w:sz w:val="22"/>
          <w:szCs w:val="22"/>
          <w:lang w:val="en-US"/>
        </w:rPr>
      </w:pPr>
    </w:p>
    <w:p w:rsidR="004F1AEF" w:rsidRDefault="005E7210" w:rsidP="00006E9A">
      <w:pPr>
        <w:widowControl w:val="0"/>
        <w:ind w:left="993" w:hanging="993"/>
        <w:jc w:val="both"/>
        <w:rPr>
          <w:rFonts w:ascii="Arial" w:hAnsi="Arial"/>
          <w:sz w:val="22"/>
          <w:szCs w:val="22"/>
          <w:lang w:val="en-US"/>
        </w:rPr>
      </w:pPr>
      <w:r w:rsidRPr="005E7210">
        <w:rPr>
          <w:rFonts w:ascii="Arial" w:hAnsi="Arial"/>
          <w:sz w:val="22"/>
          <w:szCs w:val="22"/>
          <w:lang w:val="en-US"/>
        </w:rPr>
        <w:t>Christaki U., Lefèvre D., Georges C., Colombet J., Catala P., Courties C., Sime-Ngando T., Blain S., Obernosterer I.</w:t>
      </w:r>
      <w:r>
        <w:rPr>
          <w:rFonts w:ascii="Arial" w:hAnsi="Arial"/>
          <w:sz w:val="22"/>
          <w:szCs w:val="22"/>
          <w:lang w:val="en-US"/>
        </w:rPr>
        <w:t xml:space="preserve"> 2014. </w:t>
      </w:r>
      <w:r w:rsidRPr="005E7210">
        <w:rPr>
          <w:rFonts w:ascii="Arial" w:hAnsi="Arial"/>
          <w:sz w:val="22"/>
          <w:szCs w:val="22"/>
          <w:lang w:val="en-US"/>
        </w:rPr>
        <w:t>Microbial food web dynamics during spring phytoplankton blooms in the naturally iron-fertilized Kerguelen area (Southern Ocean)</w:t>
      </w:r>
      <w:r>
        <w:rPr>
          <w:rFonts w:ascii="Arial" w:hAnsi="Arial"/>
          <w:sz w:val="22"/>
          <w:szCs w:val="22"/>
          <w:lang w:val="en-US"/>
        </w:rPr>
        <w:t xml:space="preserve">. </w:t>
      </w:r>
      <w:r w:rsidRPr="009A0DFD">
        <w:rPr>
          <w:rFonts w:ascii="Arial" w:hAnsi="Arial"/>
          <w:i/>
          <w:sz w:val="22"/>
          <w:szCs w:val="22"/>
          <w:lang w:val="en-US"/>
        </w:rPr>
        <w:t>Biogeosciences</w:t>
      </w:r>
      <w:r w:rsidRPr="005E7210">
        <w:rPr>
          <w:rFonts w:ascii="Arial" w:hAnsi="Arial"/>
          <w:sz w:val="22"/>
          <w:szCs w:val="22"/>
          <w:lang w:val="en-US"/>
        </w:rPr>
        <w:t xml:space="preserve">, </w:t>
      </w:r>
      <w:r w:rsidRPr="009A0DFD">
        <w:rPr>
          <w:rFonts w:ascii="Arial" w:hAnsi="Arial"/>
          <w:b/>
          <w:sz w:val="22"/>
          <w:szCs w:val="22"/>
          <w:lang w:val="en-US"/>
        </w:rPr>
        <w:t>11</w:t>
      </w:r>
      <w:r w:rsidRPr="005E7210">
        <w:rPr>
          <w:rFonts w:ascii="Arial" w:hAnsi="Arial"/>
          <w:sz w:val="22"/>
          <w:szCs w:val="22"/>
          <w:lang w:val="en-US"/>
        </w:rPr>
        <w:t>, 6739-6753</w:t>
      </w:r>
      <w:r>
        <w:rPr>
          <w:rFonts w:ascii="Arial" w:hAnsi="Arial"/>
          <w:sz w:val="22"/>
          <w:szCs w:val="22"/>
          <w:lang w:val="en-US"/>
        </w:rPr>
        <w:t>.</w:t>
      </w:r>
      <w:r>
        <w:rPr>
          <w:rFonts w:ascii="Arial" w:hAnsi="Arial"/>
          <w:sz w:val="22"/>
          <w:szCs w:val="22"/>
          <w:lang w:val="en-US"/>
        </w:rPr>
        <w:tab/>
      </w:r>
      <w:r>
        <w:rPr>
          <w:rFonts w:ascii="Arial" w:hAnsi="Arial"/>
          <w:sz w:val="22"/>
          <w:szCs w:val="22"/>
          <w:lang w:val="en-US"/>
        </w:rPr>
        <w:br/>
      </w:r>
      <w:r w:rsidRPr="005E7210">
        <w:rPr>
          <w:rFonts w:ascii="Arial" w:hAnsi="Arial"/>
          <w:sz w:val="22"/>
          <w:szCs w:val="22"/>
          <w:lang w:val="en-US"/>
        </w:rPr>
        <w:t xml:space="preserve"> </w:t>
      </w:r>
      <w:hyperlink r:id="rId12" w:history="1">
        <w:r w:rsidRPr="009E49E6">
          <w:rPr>
            <w:rStyle w:val="Lienhypertexte"/>
            <w:rFonts w:ascii="Arial" w:hAnsi="Arial"/>
            <w:sz w:val="22"/>
            <w:szCs w:val="22"/>
            <w:lang w:val="en-US"/>
          </w:rPr>
          <w:t>https://doi.org/10.5194/bg-11-6739-2014</w:t>
        </w:r>
      </w:hyperlink>
    </w:p>
    <w:p w:rsidR="00D0498F" w:rsidRPr="00D0498F" w:rsidRDefault="00D0498F" w:rsidP="00D0498F">
      <w:pPr>
        <w:pBdr>
          <w:bottom w:val="single" w:sz="8" w:space="1" w:color="000000" w:themeColor="text1"/>
        </w:pBdr>
        <w:rPr>
          <w:lang w:val="en-US"/>
        </w:rPr>
      </w:pPr>
    </w:p>
    <w:sectPr w:rsidR="00D0498F" w:rsidRPr="00D0498F" w:rsidSect="00751E33">
      <w:pgSz w:w="11900" w:h="16840"/>
      <w:pgMar w:top="1610" w:right="1418" w:bottom="863" w:left="1418" w:header="44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B04" w:rsidRDefault="002C1B04" w:rsidP="001400EB">
      <w:r>
        <w:separator/>
      </w:r>
    </w:p>
  </w:endnote>
  <w:endnote w:type="continuationSeparator" w:id="0">
    <w:p w:rsidR="002C1B04" w:rsidRDefault="002C1B04" w:rsidP="0014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notTrueType/>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B04" w:rsidRDefault="002C1B04" w:rsidP="001400EB">
      <w:r>
        <w:separator/>
      </w:r>
    </w:p>
  </w:footnote>
  <w:footnote w:type="continuationSeparator" w:id="0">
    <w:p w:rsidR="002C1B04" w:rsidRDefault="002C1B04" w:rsidP="00140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4528"/>
    </w:tblGrid>
    <w:tr w:rsidR="00062451" w:rsidTr="00062451">
      <w:trPr>
        <w:trHeight w:val="867"/>
      </w:trPr>
      <w:tc>
        <w:tcPr>
          <w:tcW w:w="1287" w:type="dxa"/>
          <w:vAlign w:val="center"/>
        </w:tcPr>
        <w:p w:rsidR="00062451" w:rsidRDefault="00062451" w:rsidP="00751E33">
          <w:r>
            <w:rPr>
              <w:noProof/>
              <w:lang w:eastAsia="fr-FR"/>
            </w:rPr>
            <w:drawing>
              <wp:inline distT="0" distB="0" distL="0" distR="0">
                <wp:extent cx="576186" cy="503731"/>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OBYDICK.tiff"/>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596842" cy="521789"/>
                        </a:xfrm>
                        <a:prstGeom prst="rect">
                          <a:avLst/>
                        </a:prstGeom>
                        <a:effectLst/>
                      </pic:spPr>
                    </pic:pic>
                  </a:graphicData>
                </a:graphic>
              </wp:inline>
            </w:drawing>
          </w:r>
        </w:p>
      </w:tc>
      <w:tc>
        <w:tcPr>
          <w:tcW w:w="4528" w:type="dxa"/>
          <w:vAlign w:val="center"/>
        </w:tcPr>
        <w:p w:rsidR="00062451" w:rsidRPr="001400EB" w:rsidRDefault="00062451" w:rsidP="00751E33">
          <w:pPr>
            <w:rPr>
              <w:b/>
            </w:rPr>
          </w:pPr>
          <w:r w:rsidRPr="001400EB">
            <w:rPr>
              <w:rFonts w:ascii="Arial" w:hAnsi="Arial" w:cs="Arial"/>
              <w:b/>
              <w:color w:val="D9D9D9" w:themeColor="background1" w:themeShade="D9"/>
              <w:lang w:val="en-US"/>
            </w:rPr>
            <w:t>META-DATA FILE</w:t>
          </w:r>
        </w:p>
      </w:tc>
    </w:tr>
  </w:tbl>
  <w:p w:rsidR="00062451" w:rsidRDefault="000624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12077"/>
    <w:multiLevelType w:val="multilevel"/>
    <w:tmpl w:val="755CC3D8"/>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F06157"/>
    <w:multiLevelType w:val="hybridMultilevel"/>
    <w:tmpl w:val="1E20FCE6"/>
    <w:lvl w:ilvl="0" w:tplc="555860B2">
      <w:start w:val="1"/>
      <w:numFmt w:val="bullet"/>
      <w:lvlText w:val=""/>
      <w:lvlJc w:val="left"/>
      <w:pPr>
        <w:ind w:left="170"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730064"/>
    <w:multiLevelType w:val="hybridMultilevel"/>
    <w:tmpl w:val="755CC3D8"/>
    <w:lvl w:ilvl="0" w:tplc="8DE86B28">
      <w:start w:val="1"/>
      <w:numFmt w:val="bullet"/>
      <w:lvlText w:val=""/>
      <w:lvlJc w:val="left"/>
      <w:pPr>
        <w:ind w:left="170" w:hanging="1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E06326"/>
    <w:multiLevelType w:val="hybridMultilevel"/>
    <w:tmpl w:val="D3C24A4C"/>
    <w:lvl w:ilvl="0" w:tplc="3CCCBA5E">
      <w:start w:val="1"/>
      <w:numFmt w:val="bullet"/>
      <w:lvlText w:val=""/>
      <w:lvlJc w:val="left"/>
      <w:pPr>
        <w:ind w:left="238"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C35DE5"/>
    <w:multiLevelType w:val="multilevel"/>
    <w:tmpl w:val="D5EC613A"/>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4B26EE"/>
    <w:multiLevelType w:val="multilevel"/>
    <w:tmpl w:val="B4EAEC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44"/>
    <w:rsid w:val="00006E9A"/>
    <w:rsid w:val="00062451"/>
    <w:rsid w:val="0008641A"/>
    <w:rsid w:val="000B083E"/>
    <w:rsid w:val="001400EB"/>
    <w:rsid w:val="001E5EB9"/>
    <w:rsid w:val="0021508C"/>
    <w:rsid w:val="00242833"/>
    <w:rsid w:val="002C1B04"/>
    <w:rsid w:val="002F5641"/>
    <w:rsid w:val="00324EEA"/>
    <w:rsid w:val="003353F8"/>
    <w:rsid w:val="00347739"/>
    <w:rsid w:val="0035228D"/>
    <w:rsid w:val="00390CB8"/>
    <w:rsid w:val="003D7061"/>
    <w:rsid w:val="0043206B"/>
    <w:rsid w:val="00483870"/>
    <w:rsid w:val="004954BD"/>
    <w:rsid w:val="00496457"/>
    <w:rsid w:val="004D64C7"/>
    <w:rsid w:val="004F1AEF"/>
    <w:rsid w:val="00513493"/>
    <w:rsid w:val="00590B44"/>
    <w:rsid w:val="005A6C46"/>
    <w:rsid w:val="005C3343"/>
    <w:rsid w:val="005E7210"/>
    <w:rsid w:val="0064095B"/>
    <w:rsid w:val="006425E7"/>
    <w:rsid w:val="00665D03"/>
    <w:rsid w:val="006753DD"/>
    <w:rsid w:val="006A7880"/>
    <w:rsid w:val="006C6A85"/>
    <w:rsid w:val="006D2B5E"/>
    <w:rsid w:val="00723725"/>
    <w:rsid w:val="00751E33"/>
    <w:rsid w:val="008953A5"/>
    <w:rsid w:val="008F78F4"/>
    <w:rsid w:val="00900E02"/>
    <w:rsid w:val="00924499"/>
    <w:rsid w:val="00963A35"/>
    <w:rsid w:val="009A0DFD"/>
    <w:rsid w:val="009A7CD9"/>
    <w:rsid w:val="00AB663A"/>
    <w:rsid w:val="00AC1DA0"/>
    <w:rsid w:val="00AE2BD6"/>
    <w:rsid w:val="00B0038F"/>
    <w:rsid w:val="00B07E79"/>
    <w:rsid w:val="00B25D9E"/>
    <w:rsid w:val="00B952F5"/>
    <w:rsid w:val="00B95F85"/>
    <w:rsid w:val="00C54ED5"/>
    <w:rsid w:val="00C84E7C"/>
    <w:rsid w:val="00CA6C51"/>
    <w:rsid w:val="00CE2744"/>
    <w:rsid w:val="00D0498F"/>
    <w:rsid w:val="00D45156"/>
    <w:rsid w:val="00D74D4F"/>
    <w:rsid w:val="00D8069C"/>
    <w:rsid w:val="00D95330"/>
    <w:rsid w:val="00D96E84"/>
    <w:rsid w:val="00DD78A1"/>
    <w:rsid w:val="00E336AA"/>
    <w:rsid w:val="00EC4908"/>
    <w:rsid w:val="00EC5587"/>
    <w:rsid w:val="00F063D0"/>
    <w:rsid w:val="00F41DB0"/>
    <w:rsid w:val="00FA7057"/>
    <w:rsid w:val="00FB3DF8"/>
    <w:rsid w:val="00FF0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0D923C-231F-C343-8730-E3010CE4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EEA"/>
  </w:style>
  <w:style w:type="paragraph" w:styleId="Titre1">
    <w:name w:val="heading 1"/>
    <w:basedOn w:val="Normal"/>
    <w:next w:val="Normal"/>
    <w:link w:val="Titre1Car"/>
    <w:uiPriority w:val="9"/>
    <w:qFormat/>
    <w:rsid w:val="00D0498F"/>
    <w:pPr>
      <w:keepNext/>
      <w:keepLines/>
      <w:numPr>
        <w:numId w:val="5"/>
      </w:numPr>
      <w:spacing w:before="240"/>
      <w:outlineLvl w:val="0"/>
    </w:pPr>
    <w:rPr>
      <w:rFonts w:ascii="Arial" w:eastAsiaTheme="majorEastAsia" w:hAnsi="Arial" w:cstheme="majorBidi"/>
      <w:b/>
      <w:color w:val="000000" w:themeColor="text1"/>
      <w:sz w:val="32"/>
      <w:szCs w:val="32"/>
    </w:rPr>
  </w:style>
  <w:style w:type="paragraph" w:styleId="Titre2">
    <w:name w:val="heading 2"/>
    <w:basedOn w:val="Normal"/>
    <w:next w:val="Normal"/>
    <w:link w:val="Titre2Car"/>
    <w:uiPriority w:val="9"/>
    <w:unhideWhenUsed/>
    <w:qFormat/>
    <w:rsid w:val="00D0498F"/>
    <w:pPr>
      <w:keepNext/>
      <w:keepLines/>
      <w:numPr>
        <w:ilvl w:val="1"/>
        <w:numId w:val="5"/>
      </w:numPr>
      <w:spacing w:before="240"/>
      <w:ind w:left="992" w:hanging="567"/>
      <w:outlineLvl w:val="1"/>
    </w:pPr>
    <w:rPr>
      <w:rFonts w:ascii="Arial" w:eastAsiaTheme="majorEastAsia" w:hAnsi="Arial" w:cs="Arial"/>
      <w:b/>
      <w:color w:val="0070C0"/>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5F85"/>
    <w:rPr>
      <w:color w:val="0563C1" w:themeColor="hyperlink"/>
      <w:u w:val="single"/>
    </w:rPr>
  </w:style>
  <w:style w:type="character" w:customStyle="1" w:styleId="Mentionnonrsolue1">
    <w:name w:val="Mention non résolue1"/>
    <w:basedOn w:val="Policepardfaut"/>
    <w:uiPriority w:val="99"/>
    <w:rsid w:val="00DD78A1"/>
    <w:rPr>
      <w:color w:val="808080"/>
      <w:shd w:val="clear" w:color="auto" w:fill="E6E6E6"/>
    </w:rPr>
  </w:style>
  <w:style w:type="character" w:styleId="Lienhypertextesuivivisit">
    <w:name w:val="FollowedHyperlink"/>
    <w:basedOn w:val="Policepardfaut"/>
    <w:uiPriority w:val="99"/>
    <w:semiHidden/>
    <w:unhideWhenUsed/>
    <w:rsid w:val="00DD78A1"/>
    <w:rPr>
      <w:color w:val="954F72" w:themeColor="followedHyperlink"/>
      <w:u w:val="single"/>
    </w:rPr>
  </w:style>
  <w:style w:type="paragraph" w:styleId="Paragraphedeliste">
    <w:name w:val="List Paragraph"/>
    <w:basedOn w:val="Normal"/>
    <w:uiPriority w:val="34"/>
    <w:qFormat/>
    <w:rsid w:val="00B95F85"/>
    <w:pPr>
      <w:ind w:left="720"/>
      <w:contextualSpacing/>
    </w:pPr>
  </w:style>
  <w:style w:type="table" w:styleId="Grilledutableau">
    <w:name w:val="Table Grid"/>
    <w:basedOn w:val="TableauNormal"/>
    <w:uiPriority w:val="39"/>
    <w:rsid w:val="00B95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400EB"/>
    <w:pPr>
      <w:tabs>
        <w:tab w:val="center" w:pos="4536"/>
        <w:tab w:val="right" w:pos="9072"/>
      </w:tabs>
    </w:pPr>
  </w:style>
  <w:style w:type="character" w:customStyle="1" w:styleId="En-tteCar">
    <w:name w:val="En-tête Car"/>
    <w:basedOn w:val="Policepardfaut"/>
    <w:link w:val="En-tte"/>
    <w:uiPriority w:val="99"/>
    <w:rsid w:val="001400EB"/>
  </w:style>
  <w:style w:type="paragraph" w:styleId="Pieddepage">
    <w:name w:val="footer"/>
    <w:basedOn w:val="Normal"/>
    <w:link w:val="PieddepageCar"/>
    <w:uiPriority w:val="99"/>
    <w:unhideWhenUsed/>
    <w:rsid w:val="001400EB"/>
    <w:pPr>
      <w:tabs>
        <w:tab w:val="center" w:pos="4536"/>
        <w:tab w:val="right" w:pos="9072"/>
      </w:tabs>
    </w:pPr>
  </w:style>
  <w:style w:type="character" w:customStyle="1" w:styleId="PieddepageCar">
    <w:name w:val="Pied de page Car"/>
    <w:basedOn w:val="Policepardfaut"/>
    <w:link w:val="Pieddepage"/>
    <w:uiPriority w:val="99"/>
    <w:rsid w:val="001400EB"/>
  </w:style>
  <w:style w:type="character" w:customStyle="1" w:styleId="Titre1Car">
    <w:name w:val="Titre 1 Car"/>
    <w:basedOn w:val="Policepardfaut"/>
    <w:link w:val="Titre1"/>
    <w:uiPriority w:val="9"/>
    <w:rsid w:val="00D0498F"/>
    <w:rPr>
      <w:rFonts w:ascii="Arial" w:eastAsiaTheme="majorEastAsia" w:hAnsi="Arial" w:cstheme="majorBidi"/>
      <w:b/>
      <w:color w:val="000000" w:themeColor="text1"/>
      <w:sz w:val="32"/>
      <w:szCs w:val="32"/>
    </w:rPr>
  </w:style>
  <w:style w:type="character" w:customStyle="1" w:styleId="Titre2Car">
    <w:name w:val="Titre 2 Car"/>
    <w:basedOn w:val="Policepardfaut"/>
    <w:link w:val="Titre2"/>
    <w:uiPriority w:val="9"/>
    <w:rsid w:val="00D0498F"/>
    <w:rPr>
      <w:rFonts w:ascii="Arial" w:eastAsiaTheme="majorEastAsia" w:hAnsi="Arial" w:cs="Arial"/>
      <w:b/>
      <w:color w:val="0070C0"/>
      <w:sz w:val="26"/>
      <w:szCs w:val="26"/>
      <w:lang w:val="en-US"/>
    </w:rPr>
  </w:style>
  <w:style w:type="paragraph" w:customStyle="1" w:styleId="Paragraphestandard">
    <w:name w:val="Paragraphe standard"/>
    <w:basedOn w:val="Normal"/>
    <w:qFormat/>
    <w:rsid w:val="00EC4908"/>
    <w:pPr>
      <w:spacing w:before="120"/>
      <w:ind w:firstLine="425"/>
      <w:jc w:val="both"/>
    </w:pPr>
    <w:rPr>
      <w:rFonts w:ascii="Arial" w:hAnsi="Arial"/>
      <w:lang w:val="en-US"/>
    </w:rPr>
  </w:style>
  <w:style w:type="paragraph" w:customStyle="1" w:styleId="Default">
    <w:name w:val="Default"/>
    <w:rsid w:val="00D0498F"/>
    <w:pPr>
      <w:pBdr>
        <w:top w:val="nil"/>
        <w:left w:val="nil"/>
        <w:bottom w:val="nil"/>
        <w:right w:val="nil"/>
        <w:between w:val="nil"/>
        <w:bar w:val="nil"/>
      </w:pBdr>
    </w:pPr>
    <w:rPr>
      <w:rFonts w:ascii="Helvetica Neue" w:eastAsia="Helvetica Neue" w:hAnsi="Helvetica Neue" w:cs="Helvetica Neue"/>
      <w:color w:val="000000"/>
      <w:sz w:val="22"/>
      <w:szCs w:val="22"/>
      <w:bdr w:val="nil"/>
      <w:lang w:eastAsia="fr-FR"/>
    </w:rPr>
  </w:style>
  <w:style w:type="character" w:customStyle="1" w:styleId="Hyperlink0">
    <w:name w:val="Hyperlink.0"/>
    <w:basedOn w:val="Lienhypertexte"/>
    <w:rsid w:val="00D0498F"/>
    <w:rPr>
      <w:color w:val="0000FF"/>
      <w:u w:val="single" w:color="0000FF"/>
    </w:rPr>
  </w:style>
  <w:style w:type="character" w:customStyle="1" w:styleId="Absatz-Standardschriftart">
    <w:name w:val="Absatz-Standardschriftart"/>
    <w:rsid w:val="00AC1DA0"/>
  </w:style>
  <w:style w:type="character" w:customStyle="1" w:styleId="style8">
    <w:name w:val="style8"/>
    <w:basedOn w:val="Policepardfaut"/>
    <w:rsid w:val="00F063D0"/>
  </w:style>
  <w:style w:type="paragraph" w:styleId="Textedebulles">
    <w:name w:val="Balloon Text"/>
    <w:basedOn w:val="Normal"/>
    <w:link w:val="TextedebullesCar"/>
    <w:uiPriority w:val="99"/>
    <w:semiHidden/>
    <w:unhideWhenUsed/>
    <w:rsid w:val="00B0038F"/>
    <w:rPr>
      <w:rFonts w:ascii="Tahoma" w:hAnsi="Tahoma" w:cs="Tahoma"/>
      <w:sz w:val="16"/>
      <w:szCs w:val="16"/>
    </w:rPr>
  </w:style>
  <w:style w:type="character" w:customStyle="1" w:styleId="TextedebullesCar">
    <w:name w:val="Texte de bulles Car"/>
    <w:basedOn w:val="Policepardfaut"/>
    <w:link w:val="Textedebulles"/>
    <w:uiPriority w:val="99"/>
    <w:semiHidden/>
    <w:rsid w:val="00B003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2498">
      <w:bodyDiv w:val="1"/>
      <w:marLeft w:val="0"/>
      <w:marRight w:val="0"/>
      <w:marTop w:val="0"/>
      <w:marBottom w:val="0"/>
      <w:divBdr>
        <w:top w:val="none" w:sz="0" w:space="0" w:color="auto"/>
        <w:left w:val="none" w:sz="0" w:space="0" w:color="auto"/>
        <w:bottom w:val="none" w:sz="0" w:space="0" w:color="auto"/>
        <w:right w:val="none" w:sz="0" w:space="0" w:color="auto"/>
      </w:divBdr>
    </w:div>
    <w:div w:id="128254712">
      <w:bodyDiv w:val="1"/>
      <w:marLeft w:val="0"/>
      <w:marRight w:val="0"/>
      <w:marTop w:val="0"/>
      <w:marBottom w:val="0"/>
      <w:divBdr>
        <w:top w:val="none" w:sz="0" w:space="0" w:color="auto"/>
        <w:left w:val="none" w:sz="0" w:space="0" w:color="auto"/>
        <w:bottom w:val="none" w:sz="0" w:space="0" w:color="auto"/>
        <w:right w:val="none" w:sz="0" w:space="0" w:color="auto"/>
      </w:divBdr>
    </w:div>
    <w:div w:id="295844247">
      <w:bodyDiv w:val="1"/>
      <w:marLeft w:val="0"/>
      <w:marRight w:val="0"/>
      <w:marTop w:val="0"/>
      <w:marBottom w:val="0"/>
      <w:divBdr>
        <w:top w:val="none" w:sz="0" w:space="0" w:color="auto"/>
        <w:left w:val="none" w:sz="0" w:space="0" w:color="auto"/>
        <w:bottom w:val="none" w:sz="0" w:space="0" w:color="auto"/>
        <w:right w:val="none" w:sz="0" w:space="0" w:color="auto"/>
      </w:divBdr>
    </w:div>
    <w:div w:id="500203225">
      <w:bodyDiv w:val="1"/>
      <w:marLeft w:val="0"/>
      <w:marRight w:val="0"/>
      <w:marTop w:val="0"/>
      <w:marBottom w:val="0"/>
      <w:divBdr>
        <w:top w:val="none" w:sz="0" w:space="0" w:color="auto"/>
        <w:left w:val="none" w:sz="0" w:space="0" w:color="auto"/>
        <w:bottom w:val="none" w:sz="0" w:space="0" w:color="auto"/>
        <w:right w:val="none" w:sz="0" w:space="0" w:color="auto"/>
      </w:divBdr>
    </w:div>
    <w:div w:id="612593775">
      <w:bodyDiv w:val="1"/>
      <w:marLeft w:val="0"/>
      <w:marRight w:val="0"/>
      <w:marTop w:val="0"/>
      <w:marBottom w:val="0"/>
      <w:divBdr>
        <w:top w:val="none" w:sz="0" w:space="0" w:color="auto"/>
        <w:left w:val="none" w:sz="0" w:space="0" w:color="auto"/>
        <w:bottom w:val="none" w:sz="0" w:space="0" w:color="auto"/>
        <w:right w:val="none" w:sz="0" w:space="0" w:color="auto"/>
      </w:divBdr>
    </w:div>
    <w:div w:id="1187406651">
      <w:bodyDiv w:val="1"/>
      <w:marLeft w:val="0"/>
      <w:marRight w:val="0"/>
      <w:marTop w:val="0"/>
      <w:marBottom w:val="0"/>
      <w:divBdr>
        <w:top w:val="none" w:sz="0" w:space="0" w:color="auto"/>
        <w:left w:val="none" w:sz="0" w:space="0" w:color="auto"/>
        <w:bottom w:val="none" w:sz="0" w:space="0" w:color="auto"/>
        <w:right w:val="none" w:sz="0" w:space="0" w:color="auto"/>
      </w:divBdr>
      <w:divsChild>
        <w:div w:id="343479332">
          <w:marLeft w:val="0"/>
          <w:marRight w:val="0"/>
          <w:marTop w:val="0"/>
          <w:marBottom w:val="0"/>
          <w:divBdr>
            <w:top w:val="none" w:sz="0" w:space="0" w:color="auto"/>
            <w:left w:val="none" w:sz="0" w:space="0" w:color="auto"/>
            <w:bottom w:val="none" w:sz="0" w:space="0" w:color="auto"/>
            <w:right w:val="none" w:sz="0" w:space="0" w:color="auto"/>
          </w:divBdr>
        </w:div>
        <w:div w:id="1169175057">
          <w:marLeft w:val="0"/>
          <w:marRight w:val="0"/>
          <w:marTop w:val="0"/>
          <w:marBottom w:val="0"/>
          <w:divBdr>
            <w:top w:val="none" w:sz="0" w:space="0" w:color="auto"/>
            <w:left w:val="none" w:sz="0" w:space="0" w:color="auto"/>
            <w:bottom w:val="none" w:sz="0" w:space="0" w:color="auto"/>
            <w:right w:val="none" w:sz="0" w:space="0" w:color="auto"/>
          </w:divBdr>
        </w:div>
      </w:divsChild>
    </w:div>
    <w:div w:id="1279294312">
      <w:bodyDiv w:val="1"/>
      <w:marLeft w:val="0"/>
      <w:marRight w:val="0"/>
      <w:marTop w:val="0"/>
      <w:marBottom w:val="0"/>
      <w:divBdr>
        <w:top w:val="none" w:sz="0" w:space="0" w:color="auto"/>
        <w:left w:val="none" w:sz="0" w:space="0" w:color="auto"/>
        <w:bottom w:val="none" w:sz="0" w:space="0" w:color="auto"/>
        <w:right w:val="none" w:sz="0" w:space="0" w:color="auto"/>
      </w:divBdr>
    </w:div>
    <w:div w:id="1335954916">
      <w:bodyDiv w:val="1"/>
      <w:marLeft w:val="0"/>
      <w:marRight w:val="0"/>
      <w:marTop w:val="0"/>
      <w:marBottom w:val="0"/>
      <w:divBdr>
        <w:top w:val="none" w:sz="0" w:space="0" w:color="auto"/>
        <w:left w:val="none" w:sz="0" w:space="0" w:color="auto"/>
        <w:bottom w:val="none" w:sz="0" w:space="0" w:color="auto"/>
        <w:right w:val="none" w:sz="0" w:space="0" w:color="auto"/>
      </w:divBdr>
    </w:div>
    <w:div w:id="1355037001">
      <w:bodyDiv w:val="1"/>
      <w:marLeft w:val="0"/>
      <w:marRight w:val="0"/>
      <w:marTop w:val="0"/>
      <w:marBottom w:val="0"/>
      <w:divBdr>
        <w:top w:val="none" w:sz="0" w:space="0" w:color="auto"/>
        <w:left w:val="none" w:sz="0" w:space="0" w:color="auto"/>
        <w:bottom w:val="none" w:sz="0" w:space="0" w:color="auto"/>
        <w:right w:val="none" w:sz="0" w:space="0" w:color="auto"/>
      </w:divBdr>
    </w:div>
    <w:div w:id="1803421966">
      <w:bodyDiv w:val="1"/>
      <w:marLeft w:val="0"/>
      <w:marRight w:val="0"/>
      <w:marTop w:val="0"/>
      <w:marBottom w:val="0"/>
      <w:divBdr>
        <w:top w:val="none" w:sz="0" w:space="0" w:color="auto"/>
        <w:left w:val="none" w:sz="0" w:space="0" w:color="auto"/>
        <w:bottom w:val="none" w:sz="0" w:space="0" w:color="auto"/>
        <w:right w:val="none" w:sz="0" w:space="0" w:color="auto"/>
      </w:divBdr>
      <w:divsChild>
        <w:div w:id="2063091228">
          <w:marLeft w:val="0"/>
          <w:marRight w:val="0"/>
          <w:marTop w:val="0"/>
          <w:marBottom w:val="0"/>
          <w:divBdr>
            <w:top w:val="none" w:sz="0" w:space="0" w:color="auto"/>
            <w:left w:val="none" w:sz="0" w:space="0" w:color="auto"/>
            <w:bottom w:val="none" w:sz="0" w:space="0" w:color="auto"/>
            <w:right w:val="none" w:sz="0" w:space="0" w:color="auto"/>
          </w:divBdr>
        </w:div>
        <w:div w:id="1332564278">
          <w:marLeft w:val="0"/>
          <w:marRight w:val="0"/>
          <w:marTop w:val="0"/>
          <w:marBottom w:val="0"/>
          <w:divBdr>
            <w:top w:val="none" w:sz="0" w:space="0" w:color="auto"/>
            <w:left w:val="none" w:sz="0" w:space="0" w:color="auto"/>
            <w:bottom w:val="none" w:sz="0" w:space="0" w:color="auto"/>
            <w:right w:val="none" w:sz="0" w:space="0" w:color="auto"/>
          </w:divBdr>
        </w:div>
        <w:div w:id="348025777">
          <w:marLeft w:val="0"/>
          <w:marRight w:val="0"/>
          <w:marTop w:val="0"/>
          <w:marBottom w:val="0"/>
          <w:divBdr>
            <w:top w:val="none" w:sz="0" w:space="0" w:color="auto"/>
            <w:left w:val="none" w:sz="0" w:space="0" w:color="auto"/>
            <w:bottom w:val="none" w:sz="0" w:space="0" w:color="auto"/>
            <w:right w:val="none" w:sz="0" w:space="0" w:color="auto"/>
          </w:divBdr>
        </w:div>
        <w:div w:id="72514815">
          <w:marLeft w:val="0"/>
          <w:marRight w:val="0"/>
          <w:marTop w:val="0"/>
          <w:marBottom w:val="0"/>
          <w:divBdr>
            <w:top w:val="none" w:sz="0" w:space="0" w:color="auto"/>
            <w:left w:val="none" w:sz="0" w:space="0" w:color="auto"/>
            <w:bottom w:val="none" w:sz="0" w:space="0" w:color="auto"/>
            <w:right w:val="none" w:sz="0" w:space="0" w:color="auto"/>
          </w:divBdr>
        </w:div>
      </w:divsChild>
    </w:div>
    <w:div w:id="1821074521">
      <w:bodyDiv w:val="1"/>
      <w:marLeft w:val="0"/>
      <w:marRight w:val="0"/>
      <w:marTop w:val="0"/>
      <w:marBottom w:val="0"/>
      <w:divBdr>
        <w:top w:val="none" w:sz="0" w:space="0" w:color="auto"/>
        <w:left w:val="none" w:sz="0" w:space="0" w:color="auto"/>
        <w:bottom w:val="none" w:sz="0" w:space="0" w:color="auto"/>
        <w:right w:val="none" w:sz="0" w:space="0" w:color="auto"/>
      </w:divBdr>
    </w:div>
    <w:div w:id="2066099506">
      <w:bodyDiv w:val="1"/>
      <w:marLeft w:val="0"/>
      <w:marRight w:val="0"/>
      <w:marTop w:val="0"/>
      <w:marBottom w:val="0"/>
      <w:divBdr>
        <w:top w:val="none" w:sz="0" w:space="0" w:color="auto"/>
        <w:left w:val="none" w:sz="0" w:space="0" w:color="auto"/>
        <w:bottom w:val="none" w:sz="0" w:space="0" w:color="auto"/>
        <w:right w:val="none" w:sz="0" w:space="0" w:color="auto"/>
      </w:divBdr>
      <w:divsChild>
        <w:div w:id="227615796">
          <w:marLeft w:val="0"/>
          <w:marRight w:val="0"/>
          <w:marTop w:val="0"/>
          <w:marBottom w:val="0"/>
          <w:divBdr>
            <w:top w:val="none" w:sz="0" w:space="0" w:color="auto"/>
            <w:left w:val="none" w:sz="0" w:space="0" w:color="auto"/>
            <w:bottom w:val="none" w:sz="0" w:space="0" w:color="auto"/>
            <w:right w:val="none" w:sz="0" w:space="0" w:color="auto"/>
          </w:divBdr>
          <w:divsChild>
            <w:div w:id="1023434459">
              <w:marLeft w:val="0"/>
              <w:marRight w:val="0"/>
              <w:marTop w:val="0"/>
              <w:marBottom w:val="0"/>
              <w:divBdr>
                <w:top w:val="none" w:sz="0" w:space="0" w:color="auto"/>
                <w:left w:val="none" w:sz="0" w:space="0" w:color="auto"/>
                <w:bottom w:val="none" w:sz="0" w:space="0" w:color="auto"/>
                <w:right w:val="none" w:sz="0" w:space="0" w:color="auto"/>
              </w:divBdr>
              <w:divsChild>
                <w:div w:id="1518541203">
                  <w:marLeft w:val="0"/>
                  <w:marRight w:val="0"/>
                  <w:marTop w:val="0"/>
                  <w:marBottom w:val="0"/>
                  <w:divBdr>
                    <w:top w:val="none" w:sz="0" w:space="0" w:color="auto"/>
                    <w:left w:val="none" w:sz="0" w:space="0" w:color="auto"/>
                    <w:bottom w:val="none" w:sz="0" w:space="0" w:color="auto"/>
                    <w:right w:val="none" w:sz="0" w:space="0" w:color="auto"/>
                  </w:divBdr>
                  <w:divsChild>
                    <w:div w:id="2026513210">
                      <w:marLeft w:val="0"/>
                      <w:marRight w:val="0"/>
                      <w:marTop w:val="0"/>
                      <w:marBottom w:val="0"/>
                      <w:divBdr>
                        <w:top w:val="none" w:sz="0" w:space="0" w:color="auto"/>
                        <w:left w:val="none" w:sz="0" w:space="0" w:color="auto"/>
                        <w:bottom w:val="none" w:sz="0" w:space="0" w:color="auto"/>
                        <w:right w:val="none" w:sz="0" w:space="0" w:color="auto"/>
                      </w:divBdr>
                    </w:div>
                    <w:div w:id="1850292010">
                      <w:marLeft w:val="0"/>
                      <w:marRight w:val="0"/>
                      <w:marTop w:val="0"/>
                      <w:marBottom w:val="0"/>
                      <w:divBdr>
                        <w:top w:val="none" w:sz="0" w:space="0" w:color="auto"/>
                        <w:left w:val="none" w:sz="0" w:space="0" w:color="auto"/>
                        <w:bottom w:val="none" w:sz="0" w:space="0" w:color="auto"/>
                        <w:right w:val="none" w:sz="0" w:space="0" w:color="auto"/>
                      </w:divBdr>
                    </w:div>
                    <w:div w:id="1414161089">
                      <w:marLeft w:val="0"/>
                      <w:marRight w:val="0"/>
                      <w:marTop w:val="0"/>
                      <w:marBottom w:val="0"/>
                      <w:divBdr>
                        <w:top w:val="none" w:sz="0" w:space="0" w:color="auto"/>
                        <w:left w:val="none" w:sz="0" w:space="0" w:color="auto"/>
                        <w:bottom w:val="none" w:sz="0" w:space="0" w:color="auto"/>
                        <w:right w:val="none" w:sz="0" w:space="0" w:color="auto"/>
                      </w:divBdr>
                    </w:div>
                    <w:div w:id="452601896">
                      <w:marLeft w:val="0"/>
                      <w:marRight w:val="0"/>
                      <w:marTop w:val="0"/>
                      <w:marBottom w:val="0"/>
                      <w:divBdr>
                        <w:top w:val="none" w:sz="0" w:space="0" w:color="auto"/>
                        <w:left w:val="none" w:sz="0" w:space="0" w:color="auto"/>
                        <w:bottom w:val="none" w:sz="0" w:space="0" w:color="auto"/>
                        <w:right w:val="none" w:sz="0" w:space="0" w:color="auto"/>
                      </w:divBdr>
                    </w:div>
                    <w:div w:id="696613935">
                      <w:marLeft w:val="0"/>
                      <w:marRight w:val="0"/>
                      <w:marTop w:val="0"/>
                      <w:marBottom w:val="0"/>
                      <w:divBdr>
                        <w:top w:val="none" w:sz="0" w:space="0" w:color="auto"/>
                        <w:left w:val="none" w:sz="0" w:space="0" w:color="auto"/>
                        <w:bottom w:val="none" w:sz="0" w:space="0" w:color="auto"/>
                        <w:right w:val="none" w:sz="0" w:space="0" w:color="auto"/>
                      </w:divBdr>
                    </w:div>
                    <w:div w:id="1335646108">
                      <w:marLeft w:val="0"/>
                      <w:marRight w:val="0"/>
                      <w:marTop w:val="0"/>
                      <w:marBottom w:val="0"/>
                      <w:divBdr>
                        <w:top w:val="none" w:sz="0" w:space="0" w:color="auto"/>
                        <w:left w:val="none" w:sz="0" w:space="0" w:color="auto"/>
                        <w:bottom w:val="none" w:sz="0" w:space="0" w:color="auto"/>
                        <w:right w:val="none" w:sz="0" w:space="0" w:color="auto"/>
                      </w:divBdr>
                    </w:div>
                    <w:div w:id="1952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1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obernosterer@obs-banyuls.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rnard.queguiner@mio.osupytheas.fr" TargetMode="External"/><Relationship Id="rId12" Type="http://schemas.openxmlformats.org/officeDocument/2006/relationships/hyperlink" Target="https://doi.org/10.5194/bg-11-6739-2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ania.christaki@univ-littoral.fr"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rania.christaki@univ-littoral.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4608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QUEGUINER Bernard</dc:creator>
  <cp:keywords/>
  <dc:description/>
  <cp:lastModifiedBy>QUEGUINER Bernard</cp:lastModifiedBy>
  <cp:revision>3</cp:revision>
  <dcterms:created xsi:type="dcterms:W3CDTF">2018-06-28T13:37:00Z</dcterms:created>
  <dcterms:modified xsi:type="dcterms:W3CDTF">2018-06-28T13:37:00Z</dcterms:modified>
</cp:coreProperties>
</file>