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44" w:rsidRDefault="00590B44">
      <w:pPr>
        <w:rPr>
          <w:rFonts w:ascii="Arial" w:hAnsi="Arial" w:cs="Arial"/>
          <w:b/>
          <w:color w:val="0070C0"/>
          <w:lang w:val="en-US"/>
        </w:rPr>
      </w:pPr>
      <w:r w:rsidRPr="00DD78A1">
        <w:rPr>
          <w:rFonts w:ascii="Arial" w:hAnsi="Arial" w:cs="Arial"/>
          <w:lang w:val="en-US"/>
        </w:rPr>
        <w:t>Datas</w:t>
      </w:r>
      <w:r w:rsidR="00DD78A1" w:rsidRPr="00DD78A1">
        <w:rPr>
          <w:rFonts w:ascii="Arial" w:hAnsi="Arial" w:cs="Arial"/>
          <w:lang w:val="en-US"/>
        </w:rPr>
        <w:t xml:space="preserve">et name: </w:t>
      </w:r>
      <w:r w:rsidR="00781ABF" w:rsidRPr="00E8335F">
        <w:rPr>
          <w:rFonts w:ascii="Arial" w:hAnsi="Arial" w:cs="Arial"/>
          <w:b/>
          <w:color w:val="0070C0"/>
          <w:lang w:val="en-US"/>
        </w:rPr>
        <w:t>Meso</w:t>
      </w:r>
      <w:r w:rsidR="00006CD5">
        <w:rPr>
          <w:rFonts w:ascii="Arial" w:hAnsi="Arial" w:cs="Arial"/>
          <w:b/>
          <w:color w:val="0070C0"/>
          <w:lang w:val="en-US"/>
        </w:rPr>
        <w:t>– and micro–</w:t>
      </w:r>
      <w:r w:rsidR="00781ABF" w:rsidRPr="00E8335F">
        <w:rPr>
          <w:rFonts w:ascii="Arial" w:hAnsi="Arial" w:cs="Arial"/>
          <w:b/>
          <w:color w:val="0070C0"/>
          <w:lang w:val="en-US"/>
        </w:rPr>
        <w:t>zooplankton</w:t>
      </w:r>
      <w:r w:rsidR="00894510">
        <w:rPr>
          <w:rFonts w:ascii="Arial" w:hAnsi="Arial" w:cs="Arial"/>
          <w:b/>
          <w:color w:val="0070C0"/>
          <w:lang w:val="en-US"/>
        </w:rPr>
        <w:t xml:space="preserve"> process studies</w:t>
      </w:r>
    </w:p>
    <w:p w:rsidR="00B95F85" w:rsidRDefault="00B95F85">
      <w:pPr>
        <w:rPr>
          <w:rFonts w:ascii="Arial" w:hAnsi="Arial" w:cs="Arial"/>
          <w:b/>
          <w:color w:val="0070C0"/>
          <w:lang w:val="en-US"/>
        </w:rPr>
      </w:pP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B95F85" w:rsidRPr="00781ABF" w:rsidTr="00B95F85">
        <w:tc>
          <w:tcPr>
            <w:tcW w:w="1555" w:type="dxa"/>
          </w:tcPr>
          <w:p w:rsidR="00B95F85" w:rsidRPr="00B95F85" w:rsidRDefault="00B95F85" w:rsidP="00B95F85">
            <w:pPr>
              <w:spacing w:before="60"/>
              <w:rPr>
                <w:rFonts w:ascii="Arial" w:hAnsi="Arial" w:cs="Arial"/>
                <w:color w:val="000000" w:themeColor="text1"/>
                <w:lang w:val="en-US"/>
              </w:rPr>
            </w:pPr>
            <w:r w:rsidRPr="00B95F85">
              <w:rPr>
                <w:rFonts w:ascii="Arial" w:hAnsi="Arial" w:cs="Arial"/>
                <w:color w:val="000000" w:themeColor="text1"/>
                <w:lang w:val="en-US"/>
              </w:rPr>
              <w:t>Parameters:</w:t>
            </w:r>
          </w:p>
          <w:p w:rsidR="00B95F85" w:rsidRDefault="00B95F85">
            <w:pPr>
              <w:rPr>
                <w:rFonts w:ascii="Arial" w:hAnsi="Arial" w:cs="Arial"/>
                <w:color w:val="000000" w:themeColor="text1"/>
                <w:lang w:val="en-US"/>
              </w:rPr>
            </w:pPr>
          </w:p>
        </w:tc>
        <w:tc>
          <w:tcPr>
            <w:tcW w:w="7654" w:type="dxa"/>
          </w:tcPr>
          <w:p w:rsidR="00A96236" w:rsidRPr="00E8335F" w:rsidRDefault="00E8335F" w:rsidP="00A96236">
            <w:pPr>
              <w:numPr>
                <w:ilvl w:val="0"/>
                <w:numId w:val="3"/>
              </w:numPr>
              <w:pBdr>
                <w:top w:val="nil"/>
                <w:left w:val="nil"/>
                <w:bottom w:val="nil"/>
                <w:right w:val="nil"/>
                <w:between w:val="nil"/>
                <w:bar w:val="nil"/>
              </w:pBdr>
              <w:suppressAutoHyphens/>
              <w:rPr>
                <w:rFonts w:ascii="Arial" w:eastAsia="Arial" w:hAnsi="Arial" w:cs="Arial"/>
                <w:b/>
                <w:color w:val="0070C0"/>
                <w:lang w:val="en-US"/>
              </w:rPr>
            </w:pPr>
            <w:r>
              <w:rPr>
                <w:rFonts w:ascii="Arial" w:hAnsi="Arial"/>
                <w:b/>
                <w:color w:val="0070C0"/>
                <w:lang w:val="en-US"/>
              </w:rPr>
              <w:t>g</w:t>
            </w:r>
            <w:r w:rsidR="00A96236" w:rsidRPr="00E8335F">
              <w:rPr>
                <w:rFonts w:ascii="Arial" w:hAnsi="Arial"/>
                <w:b/>
                <w:color w:val="0070C0"/>
                <w:lang w:val="en-US"/>
              </w:rPr>
              <w:t xml:space="preserve">ut evacuation rates of </w:t>
            </w:r>
            <w:r>
              <w:rPr>
                <w:rFonts w:ascii="Arial" w:hAnsi="Arial"/>
                <w:b/>
                <w:color w:val="0070C0"/>
                <w:lang w:val="en-US"/>
              </w:rPr>
              <w:t>meso</w:t>
            </w:r>
            <w:r w:rsidR="00A96236" w:rsidRPr="00E8335F">
              <w:rPr>
                <w:rFonts w:ascii="Arial" w:hAnsi="Arial"/>
                <w:b/>
                <w:color w:val="0070C0"/>
                <w:lang w:val="en-US"/>
              </w:rPr>
              <w:t>zooplankton</w:t>
            </w:r>
          </w:p>
          <w:p w:rsidR="00E8335F" w:rsidRPr="00006CD5" w:rsidRDefault="00E8335F" w:rsidP="00E8335F">
            <w:pPr>
              <w:numPr>
                <w:ilvl w:val="0"/>
                <w:numId w:val="3"/>
              </w:numPr>
              <w:pBdr>
                <w:top w:val="nil"/>
                <w:left w:val="nil"/>
                <w:bottom w:val="nil"/>
                <w:right w:val="nil"/>
                <w:between w:val="nil"/>
                <w:bar w:val="nil"/>
              </w:pBdr>
              <w:suppressAutoHyphens/>
              <w:rPr>
                <w:rFonts w:ascii="Arial" w:hAnsi="Arial" w:cs="Arial"/>
                <w:b/>
                <w:color w:val="0070C0"/>
                <w:lang w:val="en-US"/>
              </w:rPr>
            </w:pPr>
            <w:r>
              <w:rPr>
                <w:rFonts w:ascii="Arial" w:hAnsi="Arial"/>
                <w:b/>
                <w:color w:val="0070C0"/>
                <w:lang w:val="en-US"/>
              </w:rPr>
              <w:t>mesoz</w:t>
            </w:r>
            <w:r w:rsidR="00A96236" w:rsidRPr="00E8335F">
              <w:rPr>
                <w:rFonts w:ascii="Arial" w:hAnsi="Arial"/>
                <w:b/>
                <w:color w:val="0070C0"/>
                <w:lang w:val="en-US"/>
              </w:rPr>
              <w:t>ooplankton grazing rates on natural prey assemblages</w:t>
            </w:r>
          </w:p>
          <w:p w:rsidR="00781ABF" w:rsidRPr="00B95F85" w:rsidRDefault="00006CD5" w:rsidP="00014F48">
            <w:pPr>
              <w:numPr>
                <w:ilvl w:val="0"/>
                <w:numId w:val="3"/>
              </w:numPr>
              <w:pBdr>
                <w:top w:val="nil"/>
                <w:left w:val="nil"/>
                <w:bottom w:val="nil"/>
                <w:right w:val="nil"/>
                <w:between w:val="nil"/>
                <w:bar w:val="nil"/>
              </w:pBdr>
              <w:suppressAutoHyphens/>
              <w:rPr>
                <w:rFonts w:ascii="Arial" w:hAnsi="Arial" w:cs="Arial"/>
                <w:b/>
                <w:color w:val="0070C0"/>
                <w:lang w:val="en-US"/>
              </w:rPr>
            </w:pPr>
            <w:r>
              <w:rPr>
                <w:rFonts w:ascii="Arial" w:hAnsi="Arial"/>
                <w:b/>
                <w:color w:val="0070C0"/>
                <w:lang w:val="en-US"/>
              </w:rPr>
              <w:t>microz</w:t>
            </w:r>
            <w:r w:rsidRPr="00E8335F">
              <w:rPr>
                <w:rFonts w:ascii="Arial" w:hAnsi="Arial"/>
                <w:b/>
                <w:color w:val="0070C0"/>
                <w:lang w:val="en-US"/>
              </w:rPr>
              <w:t>ooplankton grazing rates</w:t>
            </w:r>
          </w:p>
        </w:tc>
      </w:tr>
    </w:tbl>
    <w:p w:rsidR="00590B44" w:rsidRPr="00DD78A1" w:rsidRDefault="00590B44">
      <w:pPr>
        <w:rPr>
          <w:rFonts w:ascii="Arial" w:hAnsi="Arial" w:cs="Arial"/>
          <w:lang w:val="en-US"/>
        </w:rPr>
      </w:pP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b/>
          <w:lang w:val="en-US"/>
        </w:rPr>
      </w:pPr>
      <w:r w:rsidRPr="00DD78A1">
        <w:rPr>
          <w:rFonts w:ascii="Arial" w:hAnsi="Arial" w:cs="Arial"/>
          <w:lang w:val="en-US"/>
        </w:rPr>
        <w:t xml:space="preserve">PROJECT TITLE: </w:t>
      </w:r>
      <w:r w:rsidRPr="00DD78A1">
        <w:rPr>
          <w:rFonts w:ascii="Arial" w:hAnsi="Arial" w:cs="Arial"/>
          <w:b/>
          <w:lang w:val="en-US"/>
        </w:rPr>
        <w:t>MOBYDICK</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r w:rsidRPr="00DD78A1">
        <w:rPr>
          <w:rFonts w:ascii="Arial" w:hAnsi="Arial" w:cs="Arial"/>
          <w:lang w:val="en-US"/>
        </w:rPr>
        <w:t>Oceanographic cruise:</w:t>
      </w:r>
      <w:r w:rsidRPr="00DD78A1">
        <w:rPr>
          <w:rFonts w:ascii="Arial" w:hAnsi="Arial" w:cs="Arial"/>
          <w:b/>
          <w:lang w:val="en-US"/>
        </w:rPr>
        <w:t xml:space="preserve">  MOBYDICK</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Start date:</w:t>
      </w:r>
      <w:r w:rsidRPr="00DD78A1">
        <w:rPr>
          <w:rFonts w:ascii="Arial" w:hAnsi="Arial" w:cs="Arial"/>
          <w:b/>
          <w:lang w:val="en-US"/>
        </w:rPr>
        <w:t xml:space="preserve"> </w:t>
      </w:r>
      <w:r w:rsidRPr="00DD78A1">
        <w:rPr>
          <w:rFonts w:ascii="Arial" w:hAnsi="Arial" w:cs="Arial"/>
          <w:b/>
          <w:lang w:val="en-US"/>
        </w:rPr>
        <w:tab/>
        <w:t>18/02/2018</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1134" w:hanging="1134"/>
        <w:rPr>
          <w:rFonts w:ascii="Arial" w:hAnsi="Arial" w:cs="Arial"/>
          <w:lang w:val="en-US"/>
        </w:rPr>
      </w:pPr>
      <w:r w:rsidRPr="00DD78A1">
        <w:rPr>
          <w:rFonts w:ascii="Arial" w:hAnsi="Arial" w:cs="Arial"/>
          <w:lang w:val="en-US"/>
        </w:rPr>
        <w:t>End date:</w:t>
      </w:r>
      <w:r w:rsidRPr="00DD78A1">
        <w:rPr>
          <w:rFonts w:ascii="Arial" w:hAnsi="Arial" w:cs="Arial"/>
          <w:b/>
          <w:lang w:val="en-US"/>
        </w:rPr>
        <w:tab/>
        <w:t>27/03/2018</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rPr>
          <w:rFonts w:ascii="Arial" w:hAnsi="Arial" w:cs="Arial"/>
          <w:lang w:val="en-US"/>
        </w:rPr>
      </w:pPr>
    </w:p>
    <w:p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DD78A1">
        <w:rPr>
          <w:rFonts w:ascii="Arial" w:hAnsi="Arial" w:cs="Arial"/>
          <w:lang w:val="en-US"/>
        </w:rPr>
        <w:t>Project manager:</w:t>
      </w:r>
      <w:r w:rsidRPr="00DD78A1">
        <w:rPr>
          <w:rFonts w:ascii="Arial" w:hAnsi="Arial" w:cs="Arial"/>
          <w:lang w:val="en-US"/>
        </w:rPr>
        <w:tab/>
      </w:r>
      <w:r w:rsidRPr="00DD78A1">
        <w:rPr>
          <w:rFonts w:ascii="Arial" w:hAnsi="Arial" w:cs="Arial"/>
          <w:b/>
          <w:u w:val="single"/>
          <w:lang w:val="en-US"/>
        </w:rPr>
        <w:t>Bernard Qué</w:t>
      </w:r>
      <w:r w:rsidRPr="00DD78A1">
        <w:rPr>
          <w:rFonts w:ascii="Arial" w:hAnsi="Arial" w:cs="Arial"/>
          <w:b/>
          <w:lang w:val="en-US"/>
        </w:rPr>
        <w:t>g</w:t>
      </w:r>
      <w:r w:rsidRPr="00DD78A1">
        <w:rPr>
          <w:rFonts w:ascii="Arial" w:hAnsi="Arial" w:cs="Arial"/>
          <w:b/>
          <w:u w:val="single"/>
          <w:lang w:val="en-US"/>
        </w:rPr>
        <w:t>uiner</w:t>
      </w:r>
      <w:r w:rsidRPr="00330376">
        <w:rPr>
          <w:rFonts w:ascii="Arial" w:hAnsi="Arial" w:cs="Arial"/>
          <w:lang w:val="en-US"/>
        </w:rPr>
        <w:tab/>
      </w:r>
      <w:hyperlink r:id="rId7" w:history="1">
        <w:r w:rsidRPr="00437351">
          <w:rPr>
            <w:rStyle w:val="Lienhypertexte"/>
            <w:rFonts w:ascii="Arial" w:hAnsi="Arial" w:cs="Arial"/>
            <w:lang w:val="en-US"/>
          </w:rPr>
          <w:t>bernard.queguiner@mio.osupytheas.fr</w:t>
        </w:r>
      </w:hyperlink>
    </w:p>
    <w:p w:rsidR="00D74D4F" w:rsidRP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74D4F">
        <w:rPr>
          <w:rFonts w:ascii="Arial" w:hAnsi="Arial" w:cs="Arial"/>
        </w:rPr>
        <w:t>Address:</w:t>
      </w:r>
      <w:r w:rsidRPr="00D74D4F">
        <w:rPr>
          <w:rFonts w:ascii="Arial" w:hAnsi="Arial" w:cs="Arial"/>
        </w:rPr>
        <w:tab/>
      </w:r>
      <w:r w:rsidRPr="00D74D4F">
        <w:rPr>
          <w:rFonts w:ascii="Arial" w:hAnsi="Arial" w:cs="Arial"/>
          <w:b/>
        </w:rPr>
        <w:t>Mediterranean Institute of Oceanolography</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74D4F">
        <w:rPr>
          <w:rFonts w:ascii="Arial" w:hAnsi="Arial" w:cs="Arial"/>
          <w:b/>
        </w:rPr>
        <w:tab/>
      </w:r>
      <w:r w:rsidRPr="00DD78A1">
        <w:rPr>
          <w:rFonts w:ascii="Arial" w:hAnsi="Arial" w:cs="Arial"/>
          <w:b/>
        </w:rPr>
        <w:t>Institut Pytheas - Observatoire des Sciences de l'Univers</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Bâtiment OCEANOMED, Campus de Luminy, case 901</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r w:rsidRPr="00DD78A1">
        <w:rPr>
          <w:rFonts w:ascii="Arial" w:hAnsi="Arial" w:cs="Arial"/>
          <w:b/>
        </w:rPr>
        <w:tab/>
        <w:t>F-13288 Marseille Cedex 09, France</w:t>
      </w:r>
    </w:p>
    <w:p w:rsidR="00D74D4F" w:rsidRPr="00DD78A1"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993" w:hanging="993"/>
        <w:rPr>
          <w:rFonts w:ascii="Arial" w:hAnsi="Arial" w:cs="Arial"/>
          <w:b/>
        </w:rPr>
      </w:pPr>
    </w:p>
    <w:p w:rsidR="00D74D4F" w:rsidRDefault="00D74D4F" w:rsidP="00D74D4F">
      <w:pPr>
        <w:pBdr>
          <w:top w:val="single" w:sz="4" w:space="3" w:color="auto"/>
          <w:left w:val="single" w:sz="4" w:space="6" w:color="auto"/>
          <w:bottom w:val="single" w:sz="4" w:space="3" w:color="auto"/>
          <w:right w:val="single" w:sz="4" w:space="6" w:color="auto"/>
        </w:pBdr>
        <w:shd w:val="clear" w:color="auto" w:fill="D9E2F3" w:themeFill="accent1" w:themeFillTint="33"/>
        <w:ind w:left="1843" w:hanging="1843"/>
        <w:rPr>
          <w:rFonts w:ascii="Arial" w:hAnsi="Arial" w:cs="Arial"/>
          <w:lang w:val="en-US"/>
        </w:rPr>
      </w:pPr>
      <w:r w:rsidRPr="00330376">
        <w:rPr>
          <w:rFonts w:ascii="Arial" w:hAnsi="Arial" w:cs="Arial"/>
          <w:lang w:val="en-US"/>
        </w:rPr>
        <w:t>Chief scientist:</w:t>
      </w:r>
      <w:r w:rsidRPr="00330376">
        <w:rPr>
          <w:rFonts w:ascii="Arial" w:hAnsi="Arial" w:cs="Arial"/>
          <w:lang w:val="en-US"/>
        </w:rPr>
        <w:tab/>
      </w:r>
      <w:r w:rsidRPr="00330376">
        <w:rPr>
          <w:rFonts w:ascii="Arial" w:hAnsi="Arial" w:cs="Arial"/>
          <w:b/>
          <w:u w:val="single"/>
          <w:lang w:val="en-US"/>
        </w:rPr>
        <w:t>In</w:t>
      </w:r>
      <w:r w:rsidRPr="00330376">
        <w:rPr>
          <w:rFonts w:ascii="Arial" w:hAnsi="Arial" w:cs="Arial"/>
          <w:b/>
          <w:lang w:val="en-US"/>
        </w:rPr>
        <w:t>g</w:t>
      </w:r>
      <w:r w:rsidRPr="00330376">
        <w:rPr>
          <w:rFonts w:ascii="Arial" w:hAnsi="Arial" w:cs="Arial"/>
          <w:b/>
          <w:u w:val="single"/>
          <w:lang w:val="en-US"/>
        </w:rPr>
        <w:t>rid Obernosterer</w:t>
      </w:r>
      <w:r w:rsidRPr="00330376">
        <w:rPr>
          <w:rFonts w:ascii="Arial" w:hAnsi="Arial" w:cs="Arial"/>
          <w:lang w:val="en-US"/>
        </w:rPr>
        <w:tab/>
      </w:r>
      <w:hyperlink r:id="rId8" w:history="1">
        <w:r w:rsidRPr="00437351">
          <w:rPr>
            <w:rStyle w:val="Lienhypertexte"/>
            <w:rFonts w:ascii="Arial" w:hAnsi="Arial" w:cs="Arial"/>
            <w:lang w:val="en-US"/>
          </w:rPr>
          <w:t>ingrid.obernosterer@obs-banyuls.fr</w:t>
        </w:r>
      </w:hyperlink>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spacing w:before="120"/>
        <w:ind w:left="992" w:hanging="992"/>
        <w:rPr>
          <w:rFonts w:ascii="Arial" w:hAnsi="Arial" w:cs="Arial"/>
          <w:b/>
        </w:rPr>
      </w:pPr>
      <w:r w:rsidRPr="00DD78A1">
        <w:rPr>
          <w:rFonts w:ascii="Arial" w:hAnsi="Arial" w:cs="Arial"/>
        </w:rPr>
        <w:t>Address:</w:t>
      </w:r>
      <w:r w:rsidRPr="00DD78A1">
        <w:rPr>
          <w:rFonts w:ascii="Arial" w:hAnsi="Arial" w:cs="Arial"/>
        </w:rPr>
        <w:tab/>
      </w:r>
      <w:r w:rsidRPr="00DD78A1">
        <w:rPr>
          <w:rFonts w:ascii="Arial" w:hAnsi="Arial" w:cs="Arial"/>
          <w:b/>
        </w:rPr>
        <w:t>Laboratoire d’Océanographie Microbienne</w:t>
      </w:r>
    </w:p>
    <w:p w:rsidR="00590B44" w:rsidRPr="00DD78A1"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rPr>
      </w:pPr>
      <w:r w:rsidRPr="00DD78A1">
        <w:rPr>
          <w:rFonts w:ascii="Arial" w:hAnsi="Arial" w:cs="Arial"/>
          <w:b/>
        </w:rPr>
        <w:tab/>
        <w:t>Observatoire Océanologique de Banyuls sur mer</w:t>
      </w:r>
    </w:p>
    <w:p w:rsidR="00590B44" w:rsidRPr="00900E02" w:rsidRDefault="00590B44"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r w:rsidRPr="00DD78A1">
        <w:rPr>
          <w:rFonts w:ascii="Arial" w:hAnsi="Arial" w:cs="Arial"/>
          <w:b/>
        </w:rPr>
        <w:tab/>
      </w:r>
      <w:r w:rsidRPr="00900E02">
        <w:rPr>
          <w:rFonts w:ascii="Arial" w:hAnsi="Arial" w:cs="Arial"/>
          <w:b/>
          <w:lang w:val="en-US"/>
        </w:rPr>
        <w:t xml:space="preserve">66650 Banyuls sur mer, </w:t>
      </w:r>
      <w:r w:rsidR="00DD78A1" w:rsidRPr="00900E02">
        <w:rPr>
          <w:rFonts w:ascii="Arial" w:hAnsi="Arial" w:cs="Arial"/>
          <w:b/>
          <w:lang w:val="en-US"/>
        </w:rPr>
        <w:t>France</w:t>
      </w:r>
    </w:p>
    <w:p w:rsidR="00DD78A1" w:rsidRPr="00900E02"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ind w:left="992" w:hanging="992"/>
        <w:rPr>
          <w:rFonts w:ascii="Arial" w:hAnsi="Arial" w:cs="Arial"/>
          <w:b/>
          <w:lang w:val="en-US"/>
        </w:rPr>
      </w:pPr>
    </w:p>
    <w:p w:rsidR="00DD78A1" w:rsidRPr="00DD78A1" w:rsidRDefault="00DD78A1" w:rsidP="00DD78A1">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b/>
          <w:lang w:val="en-US"/>
        </w:rPr>
      </w:pPr>
      <w:r>
        <w:rPr>
          <w:rFonts w:ascii="Arial" w:hAnsi="Arial" w:cs="Arial"/>
          <w:lang w:val="en-US"/>
        </w:rPr>
        <w:tab/>
      </w:r>
      <w:r w:rsidRPr="00DD78A1">
        <w:rPr>
          <w:rFonts w:ascii="Arial" w:hAnsi="Arial" w:cs="Arial"/>
          <w:lang w:val="en-US"/>
        </w:rPr>
        <w:t>Geographic information:</w:t>
      </w:r>
      <w:r>
        <w:rPr>
          <w:rFonts w:ascii="Arial" w:hAnsi="Arial" w:cs="Arial"/>
          <w:lang w:val="en-US"/>
        </w:rPr>
        <w:tab/>
      </w:r>
      <w:r w:rsidRPr="00DD78A1">
        <w:rPr>
          <w:rFonts w:ascii="Arial" w:hAnsi="Arial" w:cs="Arial"/>
          <w:b/>
          <w:lang w:val="en-US"/>
        </w:rPr>
        <w:t>Indian sector of the Southern Ocean</w:t>
      </w:r>
    </w:p>
    <w:p w:rsid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Latitude:</w:t>
      </w:r>
      <w:r w:rsidR="00B95F85">
        <w:rPr>
          <w:rFonts w:ascii="Arial" w:hAnsi="Arial" w:cs="Arial"/>
          <w:lang w:val="en-US"/>
        </w:rPr>
        <w:tab/>
      </w:r>
      <w:r w:rsidR="00B95F85" w:rsidRPr="00B95F85">
        <w:rPr>
          <w:rFonts w:ascii="Arial" w:hAnsi="Arial" w:cs="Arial"/>
          <w:b/>
          <w:lang w:val="en-US"/>
        </w:rPr>
        <w:t>49.5°S – 52.5°S</w:t>
      </w:r>
    </w:p>
    <w:p w:rsidR="00DD78A1" w:rsidRPr="00DD78A1" w:rsidRDefault="00DD78A1" w:rsidP="00B95F85">
      <w:pPr>
        <w:pBdr>
          <w:top w:val="single" w:sz="4" w:space="3" w:color="auto"/>
          <w:left w:val="single" w:sz="4" w:space="6" w:color="auto"/>
          <w:bottom w:val="single" w:sz="4" w:space="3" w:color="auto"/>
          <w:right w:val="single" w:sz="4" w:space="6" w:color="auto"/>
        </w:pBdr>
        <w:shd w:val="clear" w:color="auto" w:fill="D9E2F3" w:themeFill="accent1" w:themeFillTint="33"/>
        <w:tabs>
          <w:tab w:val="right" w:pos="2552"/>
          <w:tab w:val="left" w:pos="2694"/>
        </w:tabs>
        <w:rPr>
          <w:rFonts w:ascii="Arial" w:hAnsi="Arial" w:cs="Arial"/>
          <w:lang w:val="en-US"/>
        </w:rPr>
      </w:pPr>
      <w:r>
        <w:rPr>
          <w:rFonts w:ascii="Arial" w:hAnsi="Arial" w:cs="Arial"/>
          <w:lang w:val="en-US"/>
        </w:rPr>
        <w:tab/>
        <w:t>Longitude:</w:t>
      </w:r>
      <w:r w:rsidR="00B95F85">
        <w:rPr>
          <w:rFonts w:ascii="Arial" w:hAnsi="Arial" w:cs="Arial"/>
          <w:lang w:val="en-US"/>
        </w:rPr>
        <w:tab/>
      </w:r>
      <w:r w:rsidR="00B95F85" w:rsidRPr="00B95F85">
        <w:rPr>
          <w:rFonts w:ascii="Arial" w:hAnsi="Arial" w:cs="Arial"/>
          <w:b/>
          <w:lang w:val="en-US"/>
        </w:rPr>
        <w:t>67,0°E – 74.5°E</w:t>
      </w:r>
    </w:p>
    <w:p w:rsidR="00DD78A1" w:rsidRPr="00DD78A1" w:rsidRDefault="00DD78A1" w:rsidP="00DD78A1">
      <w:pPr>
        <w:ind w:left="993" w:hanging="993"/>
        <w:rPr>
          <w:rFonts w:ascii="Arial" w:hAnsi="Arial" w:cs="Arial"/>
          <w:lang w:val="en-US"/>
        </w:rPr>
      </w:pPr>
    </w:p>
    <w:p w:rsidR="002850C1" w:rsidRPr="00DD78A1" w:rsidRDefault="00DD78A1" w:rsidP="002850C1">
      <w:pPr>
        <w:ind w:left="2410" w:hanging="2410"/>
        <w:rPr>
          <w:rFonts w:ascii="Arial" w:hAnsi="Arial" w:cs="Arial"/>
          <w:lang w:val="en-US"/>
        </w:rPr>
      </w:pPr>
      <w:r w:rsidRPr="002850C1">
        <w:rPr>
          <w:rFonts w:ascii="Arial" w:hAnsi="Arial" w:cs="Arial"/>
          <w:lang w:val="en-US"/>
        </w:rPr>
        <w:t>Parameter supervisor:</w:t>
      </w:r>
      <w:r w:rsidRPr="002850C1">
        <w:rPr>
          <w:rFonts w:ascii="Arial" w:hAnsi="Arial" w:cs="Arial"/>
          <w:lang w:val="en-US"/>
        </w:rPr>
        <w:tab/>
      </w:r>
      <w:r w:rsidR="002850C1">
        <w:rPr>
          <w:rFonts w:ascii="Arial" w:eastAsia="Arial Unicode MS" w:hAnsi="Arial" w:cs="Arial"/>
          <w:b/>
          <w:color w:val="0070C0"/>
          <w:lang w:val="en-US"/>
        </w:rPr>
        <w:t>Delegrange Alice</w:t>
      </w:r>
    </w:p>
    <w:p w:rsidR="002850C1" w:rsidRPr="00D7124D" w:rsidRDefault="002850C1" w:rsidP="002850C1">
      <w:pPr>
        <w:ind w:left="2410"/>
        <w:rPr>
          <w:rFonts w:ascii="Arial" w:hAnsi="Arial" w:cs="Arial"/>
          <w:lang w:val="en-US"/>
        </w:rPr>
      </w:pPr>
      <w:r w:rsidRPr="00D7124D">
        <w:rPr>
          <w:rFonts w:ascii="Arial" w:eastAsia="Arial Unicode MS" w:hAnsi="Arial" w:cs="Arial"/>
          <w:lang w:val="en-US"/>
        </w:rPr>
        <w:t>LOG</w:t>
      </w:r>
    </w:p>
    <w:p w:rsidR="002850C1" w:rsidRPr="00D7124D" w:rsidRDefault="002850C1" w:rsidP="002850C1">
      <w:pPr>
        <w:ind w:left="2410"/>
        <w:rPr>
          <w:rFonts w:ascii="Arial" w:eastAsia="Arial Unicode MS" w:hAnsi="Arial" w:cs="Arial"/>
          <w:lang w:val="en-US"/>
        </w:rPr>
      </w:pPr>
      <w:r w:rsidRPr="00D7124D">
        <w:rPr>
          <w:rFonts w:ascii="Arial" w:eastAsia="Arial Unicode MS" w:hAnsi="Arial" w:cs="Arial"/>
          <w:lang w:val="en-US"/>
        </w:rPr>
        <w:t>32 avenue Foch,</w:t>
      </w:r>
    </w:p>
    <w:p w:rsidR="002850C1" w:rsidRPr="00DD78A1" w:rsidRDefault="002850C1" w:rsidP="002850C1">
      <w:pPr>
        <w:ind w:left="2410"/>
        <w:rPr>
          <w:rFonts w:ascii="Arial" w:hAnsi="Arial" w:cs="Arial"/>
        </w:rPr>
      </w:pPr>
      <w:r w:rsidRPr="00AC1DA0">
        <w:rPr>
          <w:rFonts w:ascii="Arial" w:eastAsia="Arial Unicode MS" w:hAnsi="Arial" w:cs="Arial"/>
        </w:rPr>
        <w:t>62930 Wimereux</w:t>
      </w:r>
      <w:r>
        <w:rPr>
          <w:rFonts w:ascii="Arial" w:eastAsia="Arial Unicode MS" w:hAnsi="Arial" w:cs="Arial"/>
        </w:rPr>
        <w:t xml:space="preserve">, </w:t>
      </w:r>
      <w:r w:rsidRPr="00DD78A1">
        <w:rPr>
          <w:rFonts w:ascii="Arial" w:eastAsia="Arial Unicode MS" w:hAnsi="Arial" w:cs="Arial"/>
        </w:rPr>
        <w:t>France</w:t>
      </w:r>
    </w:p>
    <w:p w:rsidR="002850C1" w:rsidRDefault="002850C1" w:rsidP="002850C1">
      <w:pPr>
        <w:ind w:left="2410"/>
        <w:rPr>
          <w:rFonts w:ascii="Arial" w:eastAsia="Arial Unicode MS" w:hAnsi="Arial" w:cs="Arial"/>
        </w:rPr>
      </w:pPr>
      <w:r w:rsidRPr="00AC1DA0">
        <w:rPr>
          <w:rFonts w:ascii="Arial" w:eastAsia="Arial Unicode MS" w:hAnsi="Arial" w:cs="Arial"/>
        </w:rPr>
        <w:t>+33 (0)</w:t>
      </w:r>
      <w:r w:rsidRPr="00BD4F8E">
        <w:rPr>
          <w:rFonts w:ascii="Arial" w:eastAsia="Arial Unicode MS" w:hAnsi="Arial" w:cs="Arial"/>
        </w:rPr>
        <w:t xml:space="preserve">3 21 99 64 </w:t>
      </w:r>
      <w:r w:rsidR="002B22C4">
        <w:rPr>
          <w:rFonts w:ascii="Arial" w:eastAsia="Arial Unicode MS" w:hAnsi="Arial" w:cs="Arial"/>
        </w:rPr>
        <w:t>30</w:t>
      </w:r>
    </w:p>
    <w:p w:rsidR="002850C1" w:rsidRDefault="001D2287" w:rsidP="002850C1">
      <w:pPr>
        <w:ind w:left="2410"/>
        <w:rPr>
          <w:rFonts w:ascii="Arial" w:hAnsi="Arial"/>
          <w:lang w:val="it-IT"/>
        </w:rPr>
      </w:pPr>
      <w:hyperlink r:id="rId9" w:history="1">
        <w:r w:rsidR="002850C1" w:rsidRPr="001B5FF4">
          <w:rPr>
            <w:rStyle w:val="Lienhypertexte"/>
            <w:rFonts w:ascii="Arial" w:hAnsi="Arial"/>
            <w:lang w:val="it-IT"/>
          </w:rPr>
          <w:t>alice.delegrange@espe-lnf.fr</w:t>
        </w:r>
      </w:hyperlink>
    </w:p>
    <w:p w:rsidR="00DD78A1" w:rsidRPr="002850C1" w:rsidRDefault="00DD78A1" w:rsidP="002850C1">
      <w:pPr>
        <w:ind w:left="2410" w:hanging="2410"/>
        <w:rPr>
          <w:rFonts w:ascii="Arial" w:hAnsi="Arial" w:cs="Arial"/>
          <w:lang w:val="it-IT"/>
        </w:rPr>
      </w:pPr>
    </w:p>
    <w:p w:rsidR="002850C1" w:rsidRPr="00DD78A1" w:rsidRDefault="00DD78A1" w:rsidP="002850C1">
      <w:pPr>
        <w:ind w:left="2410" w:hanging="2410"/>
        <w:rPr>
          <w:rFonts w:ascii="Arial" w:hAnsi="Arial" w:cs="Arial"/>
          <w:lang w:val="en-US"/>
        </w:rPr>
      </w:pPr>
      <w:r w:rsidRPr="00AC1DA0">
        <w:rPr>
          <w:rFonts w:ascii="Arial" w:hAnsi="Arial" w:cs="Arial"/>
        </w:rPr>
        <w:t>Dataset contact:</w:t>
      </w:r>
      <w:r w:rsidRPr="00AC1DA0">
        <w:rPr>
          <w:rFonts w:ascii="Arial" w:hAnsi="Arial" w:cs="Arial"/>
        </w:rPr>
        <w:tab/>
      </w:r>
      <w:r w:rsidR="002850C1">
        <w:rPr>
          <w:rFonts w:ascii="Arial" w:eastAsia="Arial Unicode MS" w:hAnsi="Arial" w:cs="Arial"/>
          <w:b/>
          <w:color w:val="0070C0"/>
          <w:lang w:val="en-US"/>
        </w:rPr>
        <w:t>Delegrange Alice</w:t>
      </w:r>
    </w:p>
    <w:p w:rsidR="002850C1" w:rsidRPr="003B4FDF" w:rsidRDefault="002850C1" w:rsidP="002850C1">
      <w:pPr>
        <w:ind w:left="2410"/>
        <w:rPr>
          <w:rFonts w:ascii="Arial" w:hAnsi="Arial" w:cs="Arial"/>
          <w:lang w:val="en-US"/>
        </w:rPr>
      </w:pPr>
      <w:r w:rsidRPr="003B4FDF">
        <w:rPr>
          <w:rFonts w:ascii="Arial" w:eastAsia="Arial Unicode MS" w:hAnsi="Arial" w:cs="Arial"/>
          <w:lang w:val="en-US"/>
        </w:rPr>
        <w:t>LOG</w:t>
      </w:r>
    </w:p>
    <w:p w:rsidR="002850C1" w:rsidRPr="003B4FDF" w:rsidRDefault="002850C1" w:rsidP="002850C1">
      <w:pPr>
        <w:ind w:left="2410"/>
        <w:rPr>
          <w:rFonts w:ascii="Arial" w:eastAsia="Arial Unicode MS" w:hAnsi="Arial" w:cs="Arial"/>
          <w:lang w:val="en-US"/>
        </w:rPr>
      </w:pPr>
      <w:r w:rsidRPr="003B4FDF">
        <w:rPr>
          <w:rFonts w:ascii="Arial" w:eastAsia="Arial Unicode MS" w:hAnsi="Arial" w:cs="Arial"/>
          <w:lang w:val="en-US"/>
        </w:rPr>
        <w:t>32 avenue Foch,</w:t>
      </w:r>
    </w:p>
    <w:p w:rsidR="002850C1" w:rsidRPr="00DD78A1" w:rsidRDefault="002850C1" w:rsidP="002850C1">
      <w:pPr>
        <w:ind w:left="2410"/>
        <w:rPr>
          <w:rFonts w:ascii="Arial" w:hAnsi="Arial" w:cs="Arial"/>
        </w:rPr>
      </w:pPr>
      <w:r w:rsidRPr="00AC1DA0">
        <w:rPr>
          <w:rFonts w:ascii="Arial" w:eastAsia="Arial Unicode MS" w:hAnsi="Arial" w:cs="Arial"/>
        </w:rPr>
        <w:t>62930 Wimereux</w:t>
      </w:r>
      <w:r>
        <w:rPr>
          <w:rFonts w:ascii="Arial" w:eastAsia="Arial Unicode MS" w:hAnsi="Arial" w:cs="Arial"/>
        </w:rPr>
        <w:t xml:space="preserve">, </w:t>
      </w:r>
      <w:r w:rsidRPr="00DD78A1">
        <w:rPr>
          <w:rFonts w:ascii="Arial" w:eastAsia="Arial Unicode MS" w:hAnsi="Arial" w:cs="Arial"/>
        </w:rPr>
        <w:t>France</w:t>
      </w:r>
    </w:p>
    <w:p w:rsidR="002850C1" w:rsidRDefault="002850C1" w:rsidP="002850C1">
      <w:pPr>
        <w:ind w:left="2410"/>
        <w:rPr>
          <w:rFonts w:ascii="Arial" w:eastAsia="Arial Unicode MS" w:hAnsi="Arial" w:cs="Arial"/>
        </w:rPr>
      </w:pPr>
      <w:r w:rsidRPr="00AC1DA0">
        <w:rPr>
          <w:rFonts w:ascii="Arial" w:eastAsia="Arial Unicode MS" w:hAnsi="Arial" w:cs="Arial"/>
        </w:rPr>
        <w:t>+33 (0)</w:t>
      </w:r>
      <w:r w:rsidRPr="00BD4F8E">
        <w:rPr>
          <w:rFonts w:ascii="Arial" w:eastAsia="Arial Unicode MS" w:hAnsi="Arial" w:cs="Arial"/>
        </w:rPr>
        <w:t xml:space="preserve">3 21 99 64 </w:t>
      </w:r>
      <w:r w:rsidR="002B22C4">
        <w:rPr>
          <w:rFonts w:ascii="Arial" w:eastAsia="Arial Unicode MS" w:hAnsi="Arial" w:cs="Arial"/>
        </w:rPr>
        <w:t>30</w:t>
      </w:r>
    </w:p>
    <w:p w:rsidR="002850C1" w:rsidRDefault="001D2287" w:rsidP="002850C1">
      <w:pPr>
        <w:ind w:left="2410"/>
        <w:rPr>
          <w:rFonts w:ascii="Arial" w:hAnsi="Arial"/>
          <w:lang w:val="it-IT"/>
        </w:rPr>
      </w:pPr>
      <w:hyperlink r:id="rId10" w:history="1">
        <w:r w:rsidR="002850C1" w:rsidRPr="001B5FF4">
          <w:rPr>
            <w:rStyle w:val="Lienhypertexte"/>
            <w:rFonts w:ascii="Arial" w:hAnsi="Arial"/>
            <w:lang w:val="it-IT"/>
          </w:rPr>
          <w:t>alice.delegrange@espe-lnf.fr</w:t>
        </w:r>
      </w:hyperlink>
    </w:p>
    <w:p w:rsidR="00DD78A1" w:rsidRPr="00BD4F8E" w:rsidRDefault="00DD78A1" w:rsidP="002850C1">
      <w:pPr>
        <w:ind w:left="2410" w:hanging="2410"/>
        <w:rPr>
          <w:rFonts w:ascii="Arial" w:eastAsia="Arial Unicode MS" w:hAnsi="Arial" w:cs="Arial"/>
          <w:lang w:val="it-IT"/>
        </w:rPr>
      </w:pPr>
    </w:p>
    <w:p w:rsidR="002F5641" w:rsidRDefault="002F5641" w:rsidP="00DD78A1">
      <w:pPr>
        <w:ind w:left="2410" w:hanging="993"/>
        <w:rPr>
          <w:rFonts w:ascii="Arial" w:hAnsi="Arial" w:cs="Arial"/>
        </w:rPr>
        <w:sectPr w:rsidR="002F5641" w:rsidSect="00751E33">
          <w:headerReference w:type="first" r:id="rId11"/>
          <w:pgSz w:w="11900" w:h="16840"/>
          <w:pgMar w:top="1613" w:right="1417" w:bottom="1417" w:left="1417" w:header="447" w:footer="708" w:gutter="0"/>
          <w:cols w:space="708"/>
          <w:titlePg/>
          <w:docGrid w:linePitch="360"/>
        </w:sectPr>
      </w:pPr>
    </w:p>
    <w:p w:rsidR="00DD78A1" w:rsidRPr="00DD78A1" w:rsidRDefault="00DD78A1" w:rsidP="00DD78A1">
      <w:pPr>
        <w:ind w:left="2410" w:hanging="993"/>
        <w:rPr>
          <w:rFonts w:ascii="Arial" w:hAnsi="Arial" w:cs="Arial"/>
        </w:rPr>
      </w:pPr>
    </w:p>
    <w:p w:rsidR="00DD78A1" w:rsidRPr="002F5641" w:rsidRDefault="002F5641" w:rsidP="00D0498F">
      <w:pPr>
        <w:pStyle w:val="Titre1"/>
        <w:rPr>
          <w:lang w:val="en-US"/>
        </w:rPr>
      </w:pPr>
      <w:r w:rsidRPr="002F5641">
        <w:rPr>
          <w:lang w:val="en-US"/>
        </w:rPr>
        <w:t>OPERATIONS</w:t>
      </w:r>
    </w:p>
    <w:p w:rsidR="002F5641" w:rsidRDefault="002F5641" w:rsidP="00D0498F">
      <w:pPr>
        <w:pStyle w:val="Titre2"/>
      </w:pPr>
      <w:r w:rsidRPr="002F5641">
        <w:t xml:space="preserve">Sampling </w:t>
      </w:r>
      <w:r w:rsidR="00AE2BD6">
        <w:t>device</w:t>
      </w:r>
      <w:r w:rsidRPr="002F5641">
        <w:t>(s)</w:t>
      </w:r>
    </w:p>
    <w:p w:rsidR="00014F48" w:rsidRPr="00014F48" w:rsidRDefault="00014F48" w:rsidP="00014F48">
      <w:pPr>
        <w:pStyle w:val="Paragraphestandard"/>
        <w:rPr>
          <w:rFonts w:cs="Arial"/>
          <w:snapToGrid w:val="0"/>
          <w:color w:val="000000"/>
        </w:rPr>
      </w:pPr>
      <w:r w:rsidRPr="00014F48">
        <w:rPr>
          <w:rFonts w:cs="Arial"/>
          <w:snapToGrid w:val="0"/>
          <w:color w:val="000000"/>
        </w:rPr>
        <w:t>Vertical tows of WP2 plankton nets at 200 m depth – 10 minutes duration. Sampling was carried during daytime except for station M4</w:t>
      </w:r>
      <w:r>
        <w:rPr>
          <w:rFonts w:cs="Arial"/>
          <w:snapToGrid w:val="0"/>
          <w:color w:val="000000"/>
        </w:rPr>
        <w:t>_</w:t>
      </w:r>
      <w:r w:rsidRPr="00014F48">
        <w:rPr>
          <w:rFonts w:cs="Arial"/>
          <w:snapToGrid w:val="0"/>
          <w:color w:val="000000"/>
        </w:rPr>
        <w:t xml:space="preserve">2. </w:t>
      </w:r>
    </w:p>
    <w:p w:rsidR="00EC4908" w:rsidRPr="00BE1040" w:rsidRDefault="00014F48" w:rsidP="00014F48">
      <w:pPr>
        <w:pStyle w:val="Paragraphestandard"/>
        <w:rPr>
          <w:rFonts w:cs="Arial"/>
        </w:rPr>
      </w:pPr>
      <w:r w:rsidRPr="00014F48">
        <w:rPr>
          <w:rFonts w:cs="Arial"/>
          <w:snapToGrid w:val="0"/>
          <w:color w:val="000000"/>
        </w:rPr>
        <w:t xml:space="preserve">Natural microzooplankton and phytoplankton assemblages were obtained from </w:t>
      </w:r>
      <w:r w:rsidR="00F95E3A">
        <w:rPr>
          <w:rFonts w:cs="Arial"/>
          <w:snapToGrid w:val="0"/>
          <w:color w:val="000000"/>
        </w:rPr>
        <w:t>rosette</w:t>
      </w:r>
      <w:r w:rsidRPr="00014F48">
        <w:rPr>
          <w:rFonts w:cs="Arial"/>
          <w:snapToGrid w:val="0"/>
          <w:color w:val="000000"/>
        </w:rPr>
        <w:t xml:space="preserve"> bottles de</w:t>
      </w:r>
      <w:r>
        <w:rPr>
          <w:rFonts w:cs="Arial"/>
          <w:snapToGrid w:val="0"/>
          <w:color w:val="000000"/>
        </w:rPr>
        <w:t>ployed in surface layers (30 m</w:t>
      </w:r>
      <w:r w:rsidR="00F95E3A">
        <w:rPr>
          <w:rFonts w:cs="Arial"/>
          <w:snapToGrid w:val="0"/>
          <w:color w:val="000000"/>
        </w:rPr>
        <w:t xml:space="preserve"> depth</w:t>
      </w:r>
      <w:r>
        <w:rPr>
          <w:rFonts w:cs="Arial"/>
          <w:snapToGrid w:val="0"/>
          <w:color w:val="000000"/>
        </w:rPr>
        <w:t>)</w:t>
      </w:r>
      <w:r w:rsidR="00AC0F4E" w:rsidRPr="00BE1040">
        <w:rPr>
          <w:rFonts w:cs="Arial"/>
          <w:snapToGrid w:val="0"/>
          <w:color w:val="000000"/>
        </w:rPr>
        <w:t>.</w:t>
      </w:r>
    </w:p>
    <w:p w:rsidR="002F5641" w:rsidRDefault="002F5641" w:rsidP="00D0498F">
      <w:pPr>
        <w:pStyle w:val="Titre2"/>
      </w:pPr>
      <w:r w:rsidRPr="002F5641">
        <w:t>List of stations sampled</w:t>
      </w:r>
    </w:p>
    <w:p w:rsidR="00F95E3A" w:rsidRDefault="00F95E3A" w:rsidP="002850C1">
      <w:pPr>
        <w:pStyle w:val="Paragraphestandard"/>
      </w:pPr>
      <w:r w:rsidRPr="00DC0BF5">
        <w:rPr>
          <w:b/>
          <w:u w:val="single"/>
        </w:rPr>
        <w:t>Microzoo</w:t>
      </w:r>
      <w:r w:rsidRPr="00F95E3A">
        <w:rPr>
          <w:b/>
        </w:rPr>
        <w:t>p</w:t>
      </w:r>
      <w:r w:rsidRPr="00DC0BF5">
        <w:rPr>
          <w:b/>
          <w:u w:val="single"/>
        </w:rPr>
        <w:t xml:space="preserve">lankton </w:t>
      </w:r>
      <w:r w:rsidRPr="00F95E3A">
        <w:rPr>
          <w:b/>
        </w:rPr>
        <w:t>g</w:t>
      </w:r>
      <w:r w:rsidRPr="00DC0BF5">
        <w:rPr>
          <w:b/>
          <w:u w:val="single"/>
        </w:rPr>
        <w:t>razin</w:t>
      </w:r>
      <w:r w:rsidRPr="00F95E3A">
        <w:rPr>
          <w:b/>
        </w:rPr>
        <w:t>g</w:t>
      </w:r>
      <w:r w:rsidRPr="00DC0BF5">
        <w:t xml:space="preserve"> on phytoplankton communities was estimated via </w:t>
      </w:r>
      <w:r w:rsidRPr="002850C1">
        <w:t>dilution experiments. A total of 8 experiments were carried out and corresponding</w:t>
      </w:r>
      <w:r>
        <w:t xml:space="preserve"> to the following stations and cast number for niskin bottles</w:t>
      </w:r>
    </w:p>
    <w:p w:rsidR="00F95E3A" w:rsidRDefault="00F95E3A" w:rsidP="00F95E3A">
      <w:pPr>
        <w:rPr>
          <w:rFonts w:ascii="Arial" w:hAnsi="Arial"/>
          <w:iCs/>
          <w:lang w:val="en-US"/>
        </w:rPr>
      </w:pPr>
    </w:p>
    <w:tbl>
      <w:tblPr>
        <w:tblStyle w:val="Grilledutableau"/>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71"/>
        <w:gridCol w:w="1559"/>
        <w:gridCol w:w="2569"/>
      </w:tblGrid>
      <w:tr w:rsidR="00F95E3A" w:rsidRPr="00F95E3A" w:rsidTr="00F95E3A">
        <w:trPr>
          <w:trHeight w:val="397"/>
          <w:jc w:val="center"/>
        </w:trPr>
        <w:tc>
          <w:tcPr>
            <w:tcW w:w="1271" w:type="dxa"/>
            <w:tcBorders>
              <w:bottom w:val="single" w:sz="4" w:space="0" w:color="FFFFFF" w:themeColor="background1"/>
            </w:tcBorders>
            <w:shd w:val="clear" w:color="auto" w:fill="4F81BD"/>
            <w:vAlign w:val="center"/>
          </w:tcPr>
          <w:p w:rsidR="00F95E3A" w:rsidRPr="00F95E3A" w:rsidRDefault="00F95E3A" w:rsidP="00F95E3A">
            <w:pPr>
              <w:jc w:val="center"/>
              <w:rPr>
                <w:rFonts w:cstheme="minorHAnsi"/>
                <w:b/>
                <w:iCs/>
                <w:color w:val="FFFFFF" w:themeColor="background1"/>
                <w:sz w:val="20"/>
                <w:szCs w:val="20"/>
                <w:lang w:val="en-US"/>
              </w:rPr>
            </w:pPr>
            <w:r w:rsidRPr="00F95E3A">
              <w:rPr>
                <w:rFonts w:cstheme="minorHAnsi"/>
                <w:b/>
                <w:iCs/>
                <w:color w:val="FFFFFF" w:themeColor="background1"/>
                <w:sz w:val="20"/>
                <w:szCs w:val="20"/>
                <w:lang w:val="en-US"/>
              </w:rPr>
              <w:t>Stations</w:t>
            </w:r>
          </w:p>
        </w:tc>
        <w:tc>
          <w:tcPr>
            <w:tcW w:w="1559" w:type="dxa"/>
            <w:tcBorders>
              <w:bottom w:val="single" w:sz="4" w:space="0" w:color="FFFFFF" w:themeColor="background1"/>
            </w:tcBorders>
            <w:shd w:val="clear" w:color="auto" w:fill="4F81BD"/>
            <w:vAlign w:val="center"/>
          </w:tcPr>
          <w:p w:rsidR="00F95E3A" w:rsidRPr="00F95E3A" w:rsidRDefault="00F95E3A" w:rsidP="00F95E3A">
            <w:pPr>
              <w:jc w:val="center"/>
              <w:rPr>
                <w:rFonts w:cstheme="minorHAnsi"/>
                <w:b/>
                <w:iCs/>
                <w:color w:val="FFFFFF" w:themeColor="background1"/>
                <w:sz w:val="20"/>
                <w:szCs w:val="20"/>
                <w:lang w:val="en-US"/>
              </w:rPr>
            </w:pPr>
            <w:r w:rsidRPr="00F95E3A">
              <w:rPr>
                <w:rFonts w:cstheme="minorHAnsi"/>
                <w:b/>
                <w:iCs/>
                <w:color w:val="FFFFFF" w:themeColor="background1"/>
                <w:sz w:val="20"/>
                <w:szCs w:val="20"/>
                <w:lang w:val="en-US"/>
              </w:rPr>
              <w:t>CTD cast #</w:t>
            </w:r>
          </w:p>
        </w:tc>
        <w:tc>
          <w:tcPr>
            <w:tcW w:w="2569" w:type="dxa"/>
            <w:tcBorders>
              <w:bottom w:val="single" w:sz="4" w:space="0" w:color="FFFFFF" w:themeColor="background1"/>
            </w:tcBorders>
            <w:shd w:val="clear" w:color="auto" w:fill="4F81BD"/>
            <w:vAlign w:val="center"/>
          </w:tcPr>
          <w:p w:rsidR="00F95E3A" w:rsidRPr="00F95E3A" w:rsidRDefault="00F95E3A" w:rsidP="00F95E3A">
            <w:pPr>
              <w:jc w:val="center"/>
              <w:rPr>
                <w:rFonts w:cstheme="minorHAnsi"/>
                <w:b/>
                <w:iCs/>
                <w:color w:val="FFFFFF" w:themeColor="background1"/>
                <w:sz w:val="20"/>
                <w:szCs w:val="20"/>
                <w:lang w:val="en-US"/>
              </w:rPr>
            </w:pPr>
            <w:r w:rsidRPr="00F95E3A">
              <w:rPr>
                <w:rFonts w:cstheme="minorHAnsi"/>
                <w:b/>
                <w:iCs/>
                <w:color w:val="FFFFFF" w:themeColor="background1"/>
                <w:sz w:val="20"/>
                <w:szCs w:val="20"/>
                <w:lang w:val="en-US"/>
              </w:rPr>
              <w:t>Rosette bottles #</w:t>
            </w:r>
          </w:p>
        </w:tc>
      </w:tr>
      <w:tr w:rsidR="00F95E3A" w:rsidRPr="00F95E3A" w:rsidTr="00F95E3A">
        <w:trPr>
          <w:trHeight w:val="397"/>
          <w:jc w:val="center"/>
        </w:trPr>
        <w:tc>
          <w:tcPr>
            <w:tcW w:w="1271" w:type="dxa"/>
            <w:tcBorders>
              <w:bottom w:val="single" w:sz="4" w:space="0" w:color="FFFFFF" w:themeColor="background1"/>
            </w:tcBorders>
            <w:shd w:val="clear" w:color="auto" w:fill="CED7E7"/>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M1_1</w:t>
            </w:r>
          </w:p>
        </w:tc>
        <w:tc>
          <w:tcPr>
            <w:tcW w:w="1559" w:type="dxa"/>
            <w:tcBorders>
              <w:bottom w:val="single" w:sz="4" w:space="0" w:color="FFFFFF" w:themeColor="background1"/>
            </w:tcBorders>
            <w:shd w:val="clear" w:color="auto" w:fill="CED7E7"/>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039</w:t>
            </w:r>
          </w:p>
        </w:tc>
        <w:tc>
          <w:tcPr>
            <w:tcW w:w="2569" w:type="dxa"/>
            <w:tcBorders>
              <w:bottom w:val="single" w:sz="4" w:space="0" w:color="FFFFFF" w:themeColor="background1"/>
            </w:tcBorders>
            <w:shd w:val="clear" w:color="auto" w:fill="CED7E7"/>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19-20-21</w:t>
            </w:r>
          </w:p>
        </w:tc>
      </w:tr>
      <w:tr w:rsidR="00F95E3A" w:rsidRPr="00F95E3A" w:rsidTr="00F95E3A">
        <w:trPr>
          <w:trHeight w:val="397"/>
          <w:jc w:val="center"/>
        </w:trPr>
        <w:tc>
          <w:tcPr>
            <w:tcW w:w="1271" w:type="dxa"/>
            <w:tcBorders>
              <w:bottom w:val="single" w:sz="4" w:space="0" w:color="FFFFFF" w:themeColor="background1"/>
            </w:tcBorders>
            <w:shd w:val="clear" w:color="auto" w:fill="E8ECF3"/>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M2_1</w:t>
            </w:r>
          </w:p>
        </w:tc>
        <w:tc>
          <w:tcPr>
            <w:tcW w:w="1559" w:type="dxa"/>
            <w:tcBorders>
              <w:bottom w:val="single" w:sz="4" w:space="0" w:color="FFFFFF" w:themeColor="background1"/>
            </w:tcBorders>
            <w:shd w:val="clear" w:color="auto" w:fill="E8ECF3"/>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006</w:t>
            </w:r>
          </w:p>
        </w:tc>
        <w:tc>
          <w:tcPr>
            <w:tcW w:w="2569" w:type="dxa"/>
            <w:tcBorders>
              <w:bottom w:val="single" w:sz="4" w:space="0" w:color="FFFFFF" w:themeColor="background1"/>
            </w:tcBorders>
            <w:shd w:val="clear" w:color="auto" w:fill="E8ECF3"/>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19-20</w:t>
            </w:r>
          </w:p>
        </w:tc>
      </w:tr>
      <w:tr w:rsidR="00F95E3A" w:rsidRPr="00F95E3A" w:rsidTr="00F95E3A">
        <w:trPr>
          <w:trHeight w:val="397"/>
          <w:jc w:val="center"/>
        </w:trPr>
        <w:tc>
          <w:tcPr>
            <w:tcW w:w="1271" w:type="dxa"/>
            <w:tcBorders>
              <w:bottom w:val="single" w:sz="4" w:space="0" w:color="FFFFFF" w:themeColor="background1"/>
            </w:tcBorders>
            <w:shd w:val="clear" w:color="auto" w:fill="CED7E7"/>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M2_2</w:t>
            </w:r>
          </w:p>
        </w:tc>
        <w:tc>
          <w:tcPr>
            <w:tcW w:w="1559" w:type="dxa"/>
            <w:tcBorders>
              <w:bottom w:val="single" w:sz="4" w:space="0" w:color="FFFFFF" w:themeColor="background1"/>
            </w:tcBorders>
            <w:shd w:val="clear" w:color="auto" w:fill="CED7E7"/>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028</w:t>
            </w:r>
          </w:p>
        </w:tc>
        <w:tc>
          <w:tcPr>
            <w:tcW w:w="2569" w:type="dxa"/>
            <w:tcBorders>
              <w:bottom w:val="single" w:sz="4" w:space="0" w:color="FFFFFF" w:themeColor="background1"/>
            </w:tcBorders>
            <w:shd w:val="clear" w:color="auto" w:fill="CED7E7"/>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17-18-19</w:t>
            </w:r>
          </w:p>
        </w:tc>
      </w:tr>
      <w:tr w:rsidR="00F95E3A" w:rsidRPr="00F95E3A" w:rsidTr="00F95E3A">
        <w:trPr>
          <w:trHeight w:val="397"/>
          <w:jc w:val="center"/>
        </w:trPr>
        <w:tc>
          <w:tcPr>
            <w:tcW w:w="1271" w:type="dxa"/>
            <w:tcBorders>
              <w:bottom w:val="single" w:sz="4" w:space="0" w:color="FFFFFF" w:themeColor="background1"/>
            </w:tcBorders>
            <w:shd w:val="clear" w:color="auto" w:fill="E8ECF3"/>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M2_3</w:t>
            </w:r>
          </w:p>
        </w:tc>
        <w:tc>
          <w:tcPr>
            <w:tcW w:w="1559" w:type="dxa"/>
            <w:tcBorders>
              <w:bottom w:val="single" w:sz="4" w:space="0" w:color="FFFFFF" w:themeColor="background1"/>
            </w:tcBorders>
            <w:shd w:val="clear" w:color="auto" w:fill="E8ECF3"/>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50</w:t>
            </w:r>
          </w:p>
        </w:tc>
        <w:tc>
          <w:tcPr>
            <w:tcW w:w="2569" w:type="dxa"/>
            <w:tcBorders>
              <w:bottom w:val="single" w:sz="4" w:space="0" w:color="FFFFFF" w:themeColor="background1"/>
            </w:tcBorders>
            <w:shd w:val="clear" w:color="auto" w:fill="E8ECF3"/>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19-20-21</w:t>
            </w:r>
          </w:p>
        </w:tc>
      </w:tr>
      <w:tr w:rsidR="00F95E3A" w:rsidRPr="00F95E3A" w:rsidTr="00F95E3A">
        <w:trPr>
          <w:trHeight w:val="397"/>
          <w:jc w:val="center"/>
        </w:trPr>
        <w:tc>
          <w:tcPr>
            <w:tcW w:w="1271" w:type="dxa"/>
            <w:tcBorders>
              <w:bottom w:val="single" w:sz="4" w:space="0" w:color="FFFFFF" w:themeColor="background1"/>
            </w:tcBorders>
            <w:shd w:val="clear" w:color="auto" w:fill="CED7E7"/>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M3_1</w:t>
            </w:r>
          </w:p>
        </w:tc>
        <w:tc>
          <w:tcPr>
            <w:tcW w:w="1559" w:type="dxa"/>
            <w:tcBorders>
              <w:bottom w:val="single" w:sz="4" w:space="0" w:color="FFFFFF" w:themeColor="background1"/>
            </w:tcBorders>
            <w:shd w:val="clear" w:color="auto" w:fill="CED7E7"/>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022</w:t>
            </w:r>
          </w:p>
        </w:tc>
        <w:tc>
          <w:tcPr>
            <w:tcW w:w="2569" w:type="dxa"/>
            <w:tcBorders>
              <w:bottom w:val="single" w:sz="4" w:space="0" w:color="FFFFFF" w:themeColor="background1"/>
            </w:tcBorders>
            <w:shd w:val="clear" w:color="auto" w:fill="CED7E7"/>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18-19-20</w:t>
            </w:r>
          </w:p>
        </w:tc>
      </w:tr>
      <w:tr w:rsidR="00F95E3A" w:rsidRPr="00F95E3A" w:rsidTr="00F95E3A">
        <w:trPr>
          <w:trHeight w:val="397"/>
          <w:jc w:val="center"/>
        </w:trPr>
        <w:tc>
          <w:tcPr>
            <w:tcW w:w="1271" w:type="dxa"/>
            <w:tcBorders>
              <w:bottom w:val="single" w:sz="4" w:space="0" w:color="FFFFFF" w:themeColor="background1"/>
            </w:tcBorders>
            <w:shd w:val="clear" w:color="auto" w:fill="E8ECF3"/>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M3_3</w:t>
            </w:r>
          </w:p>
        </w:tc>
        <w:tc>
          <w:tcPr>
            <w:tcW w:w="1559" w:type="dxa"/>
            <w:tcBorders>
              <w:bottom w:val="single" w:sz="4" w:space="0" w:color="FFFFFF" w:themeColor="background1"/>
            </w:tcBorders>
            <w:shd w:val="clear" w:color="auto" w:fill="E8ECF3"/>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59</w:t>
            </w:r>
          </w:p>
        </w:tc>
        <w:tc>
          <w:tcPr>
            <w:tcW w:w="2569" w:type="dxa"/>
            <w:tcBorders>
              <w:bottom w:val="single" w:sz="4" w:space="0" w:color="FFFFFF" w:themeColor="background1"/>
            </w:tcBorders>
            <w:shd w:val="clear" w:color="auto" w:fill="E8ECF3"/>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17-18-19</w:t>
            </w:r>
          </w:p>
        </w:tc>
      </w:tr>
      <w:tr w:rsidR="00F95E3A" w:rsidRPr="00F95E3A" w:rsidTr="00F95E3A">
        <w:trPr>
          <w:trHeight w:val="397"/>
          <w:jc w:val="center"/>
        </w:trPr>
        <w:tc>
          <w:tcPr>
            <w:tcW w:w="1271" w:type="dxa"/>
            <w:tcBorders>
              <w:bottom w:val="single" w:sz="4" w:space="0" w:color="FFFFFF" w:themeColor="background1"/>
            </w:tcBorders>
            <w:shd w:val="clear" w:color="auto" w:fill="CED7E7"/>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M4_1</w:t>
            </w:r>
          </w:p>
        </w:tc>
        <w:tc>
          <w:tcPr>
            <w:tcW w:w="1559" w:type="dxa"/>
            <w:tcBorders>
              <w:bottom w:val="single" w:sz="4" w:space="0" w:color="FFFFFF" w:themeColor="background1"/>
            </w:tcBorders>
            <w:shd w:val="clear" w:color="auto" w:fill="CED7E7"/>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012</w:t>
            </w:r>
          </w:p>
        </w:tc>
        <w:tc>
          <w:tcPr>
            <w:tcW w:w="2569" w:type="dxa"/>
            <w:tcBorders>
              <w:bottom w:val="single" w:sz="4" w:space="0" w:color="FFFFFF" w:themeColor="background1"/>
            </w:tcBorders>
            <w:shd w:val="clear" w:color="auto" w:fill="CED7E7"/>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18-19-20</w:t>
            </w:r>
          </w:p>
        </w:tc>
      </w:tr>
      <w:tr w:rsidR="00F95E3A" w:rsidRPr="00F95E3A" w:rsidTr="00F95E3A">
        <w:trPr>
          <w:trHeight w:val="397"/>
          <w:jc w:val="center"/>
        </w:trPr>
        <w:tc>
          <w:tcPr>
            <w:tcW w:w="1271" w:type="dxa"/>
            <w:shd w:val="clear" w:color="auto" w:fill="E8ECF3"/>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M4_2</w:t>
            </w:r>
          </w:p>
        </w:tc>
        <w:tc>
          <w:tcPr>
            <w:tcW w:w="1559" w:type="dxa"/>
            <w:shd w:val="clear" w:color="auto" w:fill="E8ECF3"/>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045</w:t>
            </w:r>
          </w:p>
        </w:tc>
        <w:tc>
          <w:tcPr>
            <w:tcW w:w="2569" w:type="dxa"/>
            <w:shd w:val="clear" w:color="auto" w:fill="E8ECF3"/>
            <w:vAlign w:val="center"/>
          </w:tcPr>
          <w:p w:rsidR="00F95E3A" w:rsidRPr="00F95E3A" w:rsidRDefault="00F95E3A" w:rsidP="00F95E3A">
            <w:pPr>
              <w:jc w:val="center"/>
              <w:rPr>
                <w:rFonts w:cstheme="minorHAnsi"/>
                <w:iCs/>
                <w:sz w:val="20"/>
                <w:szCs w:val="20"/>
                <w:lang w:val="en-US"/>
              </w:rPr>
            </w:pPr>
            <w:r w:rsidRPr="00F95E3A">
              <w:rPr>
                <w:rFonts w:cstheme="minorHAnsi"/>
                <w:iCs/>
                <w:sz w:val="20"/>
                <w:szCs w:val="20"/>
                <w:lang w:val="en-US"/>
              </w:rPr>
              <w:t>19-20-21</w:t>
            </w:r>
          </w:p>
        </w:tc>
      </w:tr>
    </w:tbl>
    <w:p w:rsidR="00F95E3A" w:rsidRPr="00F60233" w:rsidRDefault="00F95E3A" w:rsidP="00F95E3A">
      <w:pPr>
        <w:rPr>
          <w:rFonts w:ascii="Arial" w:hAnsi="Arial"/>
          <w:iCs/>
          <w:lang w:val="en-US"/>
        </w:rPr>
      </w:pPr>
    </w:p>
    <w:p w:rsidR="00F95E3A" w:rsidRDefault="00F95E3A" w:rsidP="00F95E3A">
      <w:pPr>
        <w:rPr>
          <w:rFonts w:ascii="Arial" w:hAnsi="Arial"/>
          <w:iCs/>
          <w:lang w:val="en-US"/>
        </w:rPr>
      </w:pPr>
    </w:p>
    <w:p w:rsidR="00F95E3A" w:rsidRDefault="00F95E3A" w:rsidP="002850C1">
      <w:pPr>
        <w:pStyle w:val="Paragraphestandard"/>
      </w:pPr>
      <w:r w:rsidRPr="00477ACC">
        <w:t xml:space="preserve">For </w:t>
      </w:r>
      <w:r w:rsidRPr="00477ACC">
        <w:rPr>
          <w:b/>
          <w:u w:val="single"/>
        </w:rPr>
        <w:t>mesozoo</w:t>
      </w:r>
      <w:r w:rsidRPr="00F95E3A">
        <w:rPr>
          <w:b/>
        </w:rPr>
        <w:t>p</w:t>
      </w:r>
      <w:r w:rsidRPr="00477ACC">
        <w:rPr>
          <w:b/>
          <w:u w:val="single"/>
        </w:rPr>
        <w:t xml:space="preserve">lankton </w:t>
      </w:r>
      <w:r w:rsidRPr="00F95E3A">
        <w:rPr>
          <w:b/>
        </w:rPr>
        <w:t>g</w:t>
      </w:r>
      <w:r w:rsidRPr="00477ACC">
        <w:rPr>
          <w:b/>
          <w:u w:val="single"/>
        </w:rPr>
        <w:t xml:space="preserve">razing on natural </w:t>
      </w:r>
      <w:r w:rsidRPr="00F95E3A">
        <w:rPr>
          <w:b/>
        </w:rPr>
        <w:t>p</w:t>
      </w:r>
      <w:r w:rsidRPr="00477ACC">
        <w:rPr>
          <w:b/>
          <w:u w:val="single"/>
        </w:rPr>
        <w:t>re</w:t>
      </w:r>
      <w:r w:rsidRPr="00F95E3A">
        <w:rPr>
          <w:b/>
        </w:rPr>
        <w:t>y</w:t>
      </w:r>
      <w:r w:rsidRPr="00477ACC">
        <w:rPr>
          <w:b/>
          <w:u w:val="single"/>
        </w:rPr>
        <w:t xml:space="preserve"> assembla</w:t>
      </w:r>
      <w:r w:rsidRPr="00F95E3A">
        <w:rPr>
          <w:b/>
        </w:rPr>
        <w:t>g</w:t>
      </w:r>
      <w:r w:rsidRPr="00477ACC">
        <w:rPr>
          <w:b/>
          <w:u w:val="single"/>
        </w:rPr>
        <w:t>es</w:t>
      </w:r>
      <w:r w:rsidRPr="00477ACC">
        <w:t xml:space="preserve">, a total of 8 experiments were carried out using </w:t>
      </w:r>
      <w:r w:rsidRPr="00477ACC">
        <w:rPr>
          <w:i/>
        </w:rPr>
        <w:t>Calanus simillimus</w:t>
      </w:r>
      <w:r w:rsidRPr="00477ACC">
        <w:t xml:space="preserve"> for most </w:t>
      </w:r>
      <w:r>
        <w:t xml:space="preserve">of the </w:t>
      </w:r>
      <w:r w:rsidRPr="00477ACC">
        <w:t xml:space="preserve">experiments and </w:t>
      </w:r>
      <w:r w:rsidRPr="00477ACC">
        <w:rPr>
          <w:i/>
        </w:rPr>
        <w:t>Metridia gerlachei</w:t>
      </w:r>
      <w:r>
        <w:t xml:space="preserve"> (for the experiment carried out at M1)</w:t>
      </w:r>
      <w:r w:rsidRPr="00477ACC">
        <w:t xml:space="preserve">. </w:t>
      </w:r>
    </w:p>
    <w:p w:rsidR="00F95E3A" w:rsidRPr="002850C1" w:rsidRDefault="00F95E3A" w:rsidP="002850C1">
      <w:pPr>
        <w:pStyle w:val="Listepuces"/>
        <w:rPr>
          <w:lang w:val="en-US"/>
        </w:rPr>
      </w:pPr>
      <w:r w:rsidRPr="002850C1">
        <w:rPr>
          <w:lang w:val="en-US"/>
        </w:rPr>
        <w:t>1 experiment was carried out at station M1 at night time (M1</w:t>
      </w:r>
      <w:r w:rsidR="002850C1">
        <w:rPr>
          <w:lang w:val="en-US"/>
        </w:rPr>
        <w:t>_</w:t>
      </w:r>
      <w:r w:rsidRPr="002850C1">
        <w:rPr>
          <w:lang w:val="en-US"/>
        </w:rPr>
        <w:t>1) – corresponding plankton net cast number = WP2_4</w:t>
      </w:r>
    </w:p>
    <w:p w:rsidR="00F95E3A" w:rsidRPr="002850C1" w:rsidRDefault="00F95E3A" w:rsidP="002850C1">
      <w:pPr>
        <w:pStyle w:val="Listepuces"/>
        <w:rPr>
          <w:lang w:val="en-US"/>
        </w:rPr>
      </w:pPr>
      <w:r w:rsidRPr="002850C1">
        <w:rPr>
          <w:lang w:val="en-US"/>
        </w:rPr>
        <w:t>3 experiments were done at station M2 (1st, 2nd and 3rd visit) at daytime – station code M2</w:t>
      </w:r>
      <w:r w:rsidR="002850C1" w:rsidRPr="002850C1">
        <w:rPr>
          <w:lang w:val="en-US"/>
        </w:rPr>
        <w:t>_</w:t>
      </w:r>
      <w:r w:rsidRPr="002850C1">
        <w:rPr>
          <w:lang w:val="en-US"/>
        </w:rPr>
        <w:t>1, M2</w:t>
      </w:r>
      <w:r w:rsidR="002850C1">
        <w:rPr>
          <w:lang w:val="en-US"/>
        </w:rPr>
        <w:t>_</w:t>
      </w:r>
      <w:r w:rsidRPr="002850C1">
        <w:rPr>
          <w:lang w:val="en-US"/>
        </w:rPr>
        <w:t>2 and M2</w:t>
      </w:r>
      <w:r w:rsidR="002850C1">
        <w:rPr>
          <w:lang w:val="en-US"/>
        </w:rPr>
        <w:t>_</w:t>
      </w:r>
      <w:r w:rsidRPr="002850C1">
        <w:rPr>
          <w:lang w:val="en-US"/>
        </w:rPr>
        <w:t>3 – corresponding plankton net cast number = WP2_4</w:t>
      </w:r>
    </w:p>
    <w:p w:rsidR="00F95E3A" w:rsidRPr="002850C1" w:rsidRDefault="00F95E3A" w:rsidP="002850C1">
      <w:pPr>
        <w:pStyle w:val="Listepuces"/>
        <w:rPr>
          <w:lang w:val="en-US"/>
        </w:rPr>
      </w:pPr>
      <w:r w:rsidRPr="002850C1">
        <w:rPr>
          <w:lang w:val="en-US"/>
        </w:rPr>
        <w:t>2 experiments were done at station M3 (1st and 3rd visit) at daytime – station code M3</w:t>
      </w:r>
      <w:r w:rsidR="002850C1">
        <w:rPr>
          <w:lang w:val="en-US"/>
        </w:rPr>
        <w:t>_</w:t>
      </w:r>
      <w:r w:rsidRPr="002850C1">
        <w:rPr>
          <w:lang w:val="en-US"/>
        </w:rPr>
        <w:t>1 and M3</w:t>
      </w:r>
      <w:r w:rsidR="002850C1" w:rsidRPr="002850C1">
        <w:rPr>
          <w:lang w:val="en-US"/>
        </w:rPr>
        <w:t>_</w:t>
      </w:r>
      <w:r w:rsidRPr="002850C1">
        <w:rPr>
          <w:lang w:val="en-US"/>
        </w:rPr>
        <w:t xml:space="preserve">3 – corresponding plankton nets cast numbers were WP2_1 and WP2_4, respectively. </w:t>
      </w:r>
    </w:p>
    <w:p w:rsidR="00F95E3A" w:rsidRPr="002850C1" w:rsidRDefault="00F95E3A" w:rsidP="002850C1">
      <w:pPr>
        <w:pStyle w:val="Listepuces"/>
        <w:rPr>
          <w:lang w:val="en-US"/>
        </w:rPr>
      </w:pPr>
      <w:r w:rsidRPr="00E7030C">
        <w:rPr>
          <w:lang w:val="en-US"/>
        </w:rPr>
        <w:t xml:space="preserve">2 experiments were done at station M4 (1st and 2nd visit). </w:t>
      </w:r>
      <w:r w:rsidRPr="002850C1">
        <w:rPr>
          <w:lang w:val="en-US"/>
        </w:rPr>
        <w:t>Experiment M4</w:t>
      </w:r>
      <w:r w:rsidR="002850C1">
        <w:rPr>
          <w:lang w:val="en-US"/>
        </w:rPr>
        <w:t>_</w:t>
      </w:r>
      <w:r w:rsidRPr="002850C1">
        <w:rPr>
          <w:lang w:val="en-US"/>
        </w:rPr>
        <w:t>1 was done during daytime whereas experiment M4</w:t>
      </w:r>
      <w:r w:rsidR="002850C1" w:rsidRPr="002850C1">
        <w:rPr>
          <w:lang w:val="en-US"/>
        </w:rPr>
        <w:t>_</w:t>
      </w:r>
      <w:r w:rsidRPr="002850C1">
        <w:rPr>
          <w:lang w:val="en-US"/>
        </w:rPr>
        <w:t>2 was done during night time. Corresponding plankton nets cast numbers were WP2_4 and WP2_5</w:t>
      </w:r>
    </w:p>
    <w:p w:rsidR="00F95E3A" w:rsidRPr="002850C1" w:rsidRDefault="00F95E3A" w:rsidP="00F95E3A">
      <w:pPr>
        <w:rPr>
          <w:rFonts w:ascii="Arial" w:hAnsi="Arial" w:cs="Arial"/>
          <w:i/>
          <w:iCs/>
          <w:lang w:val="en-US"/>
        </w:rPr>
      </w:pPr>
    </w:p>
    <w:p w:rsidR="00F95E3A" w:rsidRPr="0069615C" w:rsidRDefault="00F95E3A" w:rsidP="00F95E3A">
      <w:pPr>
        <w:rPr>
          <w:rFonts w:ascii="Arial" w:hAnsi="Arial"/>
          <w:iCs/>
          <w:lang w:val="en-US"/>
        </w:rPr>
      </w:pPr>
    </w:p>
    <w:p w:rsidR="00F95E3A" w:rsidRDefault="00F95E3A" w:rsidP="00F95E3A">
      <w:pPr>
        <w:rPr>
          <w:rFonts w:ascii="Arial" w:hAnsi="Arial"/>
          <w:i/>
          <w:iCs/>
          <w:lang w:val="en-US"/>
        </w:rPr>
      </w:pPr>
    </w:p>
    <w:p w:rsidR="00F95E3A" w:rsidRPr="00F60233" w:rsidRDefault="00F95E3A" w:rsidP="002850C1">
      <w:pPr>
        <w:pStyle w:val="Paragraphestandard"/>
        <w:rPr>
          <w:rFonts w:eastAsia="Arial" w:cs="Arial"/>
        </w:rPr>
      </w:pPr>
      <w:r>
        <w:rPr>
          <w:b/>
          <w:u w:val="single"/>
        </w:rPr>
        <w:lastRenderedPageBreak/>
        <w:t>G</w:t>
      </w:r>
      <w:r w:rsidRPr="00F60233">
        <w:rPr>
          <w:b/>
          <w:u w:val="single"/>
        </w:rPr>
        <w:t xml:space="preserve">ut evacuation </w:t>
      </w:r>
      <w:r>
        <w:rPr>
          <w:b/>
          <w:u w:val="single"/>
        </w:rPr>
        <w:t>rates of dominant zoo</w:t>
      </w:r>
      <w:r w:rsidRPr="00F95E3A">
        <w:rPr>
          <w:b/>
        </w:rPr>
        <w:t>p</w:t>
      </w:r>
      <w:r>
        <w:rPr>
          <w:b/>
          <w:u w:val="single"/>
        </w:rPr>
        <w:t>lankton s</w:t>
      </w:r>
      <w:r w:rsidRPr="00F95E3A">
        <w:rPr>
          <w:b/>
        </w:rPr>
        <w:t>p</w:t>
      </w:r>
      <w:r>
        <w:rPr>
          <w:b/>
          <w:u w:val="single"/>
        </w:rPr>
        <w:t xml:space="preserve">ecies </w:t>
      </w:r>
      <w:r w:rsidRPr="00F60233">
        <w:t>were</w:t>
      </w:r>
      <w:r>
        <w:t xml:space="preserve"> evaluated 4 times during the Mobydick cruise. Organisms were</w:t>
      </w:r>
      <w:r w:rsidRPr="00F60233">
        <w:t xml:space="preserve"> collected at night at station M2 (1</w:t>
      </w:r>
      <w:r w:rsidRPr="00F60233">
        <w:rPr>
          <w:vertAlign w:val="superscript"/>
        </w:rPr>
        <w:t>st</w:t>
      </w:r>
      <w:r w:rsidRPr="00F60233">
        <w:t xml:space="preserve"> and 3</w:t>
      </w:r>
      <w:r w:rsidRPr="00F60233">
        <w:rPr>
          <w:vertAlign w:val="superscript"/>
        </w:rPr>
        <w:t>rd</w:t>
      </w:r>
      <w:r w:rsidRPr="00F60233">
        <w:t xml:space="preserve"> visit) and M4 (1</w:t>
      </w:r>
      <w:r w:rsidRPr="00F60233">
        <w:rPr>
          <w:vertAlign w:val="superscript"/>
        </w:rPr>
        <w:t>st</w:t>
      </w:r>
      <w:r w:rsidRPr="00F60233">
        <w:t xml:space="preserve"> and 2</w:t>
      </w:r>
      <w:r w:rsidRPr="00F60233">
        <w:rPr>
          <w:vertAlign w:val="superscript"/>
        </w:rPr>
        <w:t>nd</w:t>
      </w:r>
      <w:r w:rsidRPr="00F60233">
        <w:t xml:space="preserve"> visit) – station codes were M2</w:t>
      </w:r>
      <w:r w:rsidR="002850C1">
        <w:t>_</w:t>
      </w:r>
      <w:r w:rsidRPr="00F60233">
        <w:t>1, M2</w:t>
      </w:r>
      <w:r w:rsidR="002850C1">
        <w:t>_</w:t>
      </w:r>
      <w:r w:rsidRPr="00F60233">
        <w:t>3, M4</w:t>
      </w:r>
      <w:r w:rsidR="002850C1">
        <w:t>_</w:t>
      </w:r>
      <w:r w:rsidRPr="00F60233">
        <w:t>1 and M4</w:t>
      </w:r>
      <w:r w:rsidR="002850C1">
        <w:t>_</w:t>
      </w:r>
      <w:r w:rsidRPr="00F60233">
        <w:t>2.</w:t>
      </w:r>
    </w:p>
    <w:p w:rsidR="00F95E3A" w:rsidRDefault="00F95E3A" w:rsidP="00BD4F8E">
      <w:pPr>
        <w:pStyle w:val="Paragraphestandard"/>
      </w:pPr>
    </w:p>
    <w:p w:rsidR="00CE2744" w:rsidRDefault="0035228D" w:rsidP="00D0498F">
      <w:pPr>
        <w:pStyle w:val="Titre1"/>
      </w:pPr>
      <w:r>
        <w:t>INSTRUMENTS</w:t>
      </w:r>
    </w:p>
    <w:p w:rsidR="0035228D" w:rsidRPr="0035228D" w:rsidRDefault="0035228D" w:rsidP="0035228D">
      <w:pPr>
        <w:pStyle w:val="Paragraphestandard"/>
        <w:ind w:left="2410" w:hanging="1985"/>
      </w:pPr>
      <w:r w:rsidRPr="0035228D">
        <w:t>Instrument Type:</w:t>
      </w:r>
      <w:r>
        <w:tab/>
      </w:r>
      <w:r w:rsidR="00F92F59" w:rsidRPr="00F92F59">
        <w:rPr>
          <w:b/>
          <w:u w:color="FF0000"/>
        </w:rPr>
        <w:t>Trilogy</w:t>
      </w:r>
    </w:p>
    <w:p w:rsidR="0035228D" w:rsidRPr="0035228D" w:rsidRDefault="0035228D" w:rsidP="0035228D">
      <w:pPr>
        <w:pStyle w:val="Paragraphestandard"/>
        <w:ind w:left="2410" w:hanging="1985"/>
      </w:pPr>
      <w:r w:rsidRPr="0035228D">
        <w:t>Manufacturer:</w:t>
      </w:r>
      <w:r>
        <w:tab/>
      </w:r>
      <w:r w:rsidR="00F92F59" w:rsidRPr="00F92F59">
        <w:rPr>
          <w:b/>
        </w:rPr>
        <w:t>Turner Designs</w:t>
      </w:r>
    </w:p>
    <w:p w:rsidR="0035228D" w:rsidRPr="00F92F59" w:rsidRDefault="0035228D" w:rsidP="0035228D">
      <w:pPr>
        <w:pStyle w:val="Paragraphestandard"/>
        <w:ind w:left="2410" w:hanging="1985"/>
      </w:pPr>
      <w:r w:rsidRPr="00F92F59">
        <w:t>Model:</w:t>
      </w:r>
      <w:r w:rsidRPr="00F92F59">
        <w:tab/>
      </w:r>
      <w:r w:rsidR="005C7618" w:rsidRPr="00F92F59">
        <w:t>N/A</w:t>
      </w:r>
    </w:p>
    <w:p w:rsidR="0035228D" w:rsidRPr="00F92F59" w:rsidRDefault="0035228D" w:rsidP="0035228D">
      <w:pPr>
        <w:pStyle w:val="Paragraphestandard"/>
      </w:pPr>
      <w:r w:rsidRPr="0035228D">
        <w:t>Instrument Features / Calibration:</w:t>
      </w:r>
      <w:r>
        <w:t xml:space="preserve"> </w:t>
      </w:r>
      <w:r w:rsidR="00F92F59" w:rsidRPr="00F92F59">
        <w:t>see below (</w:t>
      </w:r>
      <w:r w:rsidR="00F92F59">
        <w:t>§</w:t>
      </w:r>
      <w:r w:rsidR="00F92F59">
        <w:t xml:space="preserve"> 3.2</w:t>
      </w:r>
      <w:bookmarkStart w:id="0" w:name="_GoBack"/>
      <w:bookmarkEnd w:id="0"/>
      <w:r w:rsidR="00F92F59" w:rsidRPr="00F92F59">
        <w:t>).</w:t>
      </w:r>
    </w:p>
    <w:p w:rsidR="00AE2BD6" w:rsidRPr="0035228D" w:rsidRDefault="00AE2BD6" w:rsidP="00D0498F">
      <w:pPr>
        <w:pStyle w:val="Titre1"/>
      </w:pPr>
      <w:r>
        <w:t>DESCRIPTION of PARAMETERS</w:t>
      </w:r>
    </w:p>
    <w:p w:rsidR="0035228D" w:rsidRDefault="00496457" w:rsidP="00D0498F">
      <w:pPr>
        <w:pStyle w:val="Titre2"/>
      </w:pPr>
      <w:r>
        <w:t>Measurement</w:t>
      </w:r>
      <w:r w:rsidR="00AE2BD6">
        <w:t xml:space="preserve"> details</w:t>
      </w:r>
    </w:p>
    <w:p w:rsidR="00441431" w:rsidRPr="00441431" w:rsidRDefault="00441431" w:rsidP="00441431">
      <w:pPr>
        <w:pStyle w:val="Paragraphestandard"/>
        <w:rPr>
          <w:rFonts w:cs="Arial"/>
          <w:u w:color="FF0000"/>
        </w:rPr>
      </w:pPr>
      <w:r w:rsidRPr="00441431">
        <w:rPr>
          <w:rFonts w:cs="Arial"/>
          <w:b/>
          <w:u w:val="single"/>
        </w:rPr>
        <w:t>Microzoo</w:t>
      </w:r>
      <w:r w:rsidRPr="00441431">
        <w:rPr>
          <w:rFonts w:cs="Arial"/>
          <w:b/>
        </w:rPr>
        <w:t>p</w:t>
      </w:r>
      <w:r w:rsidRPr="00441431">
        <w:rPr>
          <w:rFonts w:cs="Arial"/>
          <w:b/>
          <w:u w:val="single"/>
        </w:rPr>
        <w:t xml:space="preserve">lankton </w:t>
      </w:r>
      <w:r w:rsidRPr="00441431">
        <w:rPr>
          <w:rFonts w:cs="Arial"/>
          <w:b/>
        </w:rPr>
        <w:t>g</w:t>
      </w:r>
      <w:r w:rsidRPr="00441431">
        <w:rPr>
          <w:rFonts w:cs="Arial"/>
          <w:b/>
          <w:u w:val="single"/>
        </w:rPr>
        <w:t>razin</w:t>
      </w:r>
      <w:r w:rsidRPr="00441431">
        <w:rPr>
          <w:rFonts w:cs="Arial"/>
          <w:b/>
        </w:rPr>
        <w:t>g</w:t>
      </w:r>
      <w:r w:rsidRPr="00441431">
        <w:rPr>
          <w:rFonts w:cs="Arial"/>
          <w:u w:color="FF0000"/>
        </w:rPr>
        <w:t xml:space="preserve"> estimations followed the dilution method of Landry &amp; Hasset (1982) with dilution levels set in triplicates at 10-25-50-75 and 100% of whole seawater (</w:t>
      </w:r>
      <w:r w:rsidRPr="00441431">
        <w:rPr>
          <w:rFonts w:cs="Arial"/>
          <w:i/>
          <w:u w:color="FF0000"/>
        </w:rPr>
        <w:t>i.e.</w:t>
      </w:r>
      <w:r w:rsidRPr="00441431">
        <w:rPr>
          <w:rFonts w:cs="Arial"/>
          <w:u w:color="FF0000"/>
        </w:rPr>
        <w:t xml:space="preserve"> natural seawater sieved on 200 µm after collection). After incubation, all bottles were sampled for chlorophyll </w:t>
      </w:r>
      <w:r w:rsidRPr="00441431">
        <w:rPr>
          <w:rFonts w:cs="Arial"/>
          <w:i/>
          <w:u w:color="FF0000"/>
        </w:rPr>
        <w:t>a</w:t>
      </w:r>
      <w:r w:rsidRPr="00441431">
        <w:rPr>
          <w:rFonts w:cs="Arial"/>
          <w:u w:color="FF0000"/>
        </w:rPr>
        <w:t xml:space="preserve"> by filtration through polycarbonate filters thus leading to 4 phytoplankton size fractions (see Grattepanche </w:t>
      </w:r>
      <w:r w:rsidRPr="00441431">
        <w:rPr>
          <w:rFonts w:eastAsia="Times New Roman" w:cs="Arial"/>
          <w:i/>
          <w:u w:color="FF0000"/>
          <w:lang w:eastAsia="fr-FR"/>
        </w:rPr>
        <w:t>et al.,</w:t>
      </w:r>
      <w:r w:rsidRPr="00441431">
        <w:rPr>
          <w:rFonts w:cs="Arial"/>
          <w:u w:color="FF0000"/>
        </w:rPr>
        <w:t xml:space="preserve"> 2011): </w:t>
      </w:r>
    </w:p>
    <w:p w:rsidR="00441431" w:rsidRDefault="00441431" w:rsidP="00441431">
      <w:pPr>
        <w:pStyle w:val="Listepuces"/>
        <w:rPr>
          <w:u w:color="FF0000"/>
        </w:rPr>
      </w:pPr>
      <w:r>
        <w:rPr>
          <w:u w:color="FF0000"/>
        </w:rPr>
        <w:t xml:space="preserve">CT = 0.2 µm to 200 µm </w:t>
      </w:r>
    </w:p>
    <w:p w:rsidR="00441431" w:rsidRDefault="00441431" w:rsidP="00441431">
      <w:pPr>
        <w:pStyle w:val="Listepuces"/>
        <w:rPr>
          <w:u w:color="FF0000"/>
        </w:rPr>
      </w:pPr>
      <w:r>
        <w:rPr>
          <w:u w:color="FF0000"/>
        </w:rPr>
        <w:t>C1 = 5 to 200 µm</w:t>
      </w:r>
    </w:p>
    <w:p w:rsidR="00441431" w:rsidRDefault="00441431" w:rsidP="00441431">
      <w:pPr>
        <w:pStyle w:val="Listepuces"/>
        <w:rPr>
          <w:u w:color="FF0000"/>
        </w:rPr>
      </w:pPr>
      <w:r>
        <w:rPr>
          <w:u w:color="FF0000"/>
        </w:rPr>
        <w:t>C2 = 5 to 10 µm</w:t>
      </w:r>
    </w:p>
    <w:p w:rsidR="00441431" w:rsidRDefault="00441431" w:rsidP="00441431">
      <w:pPr>
        <w:pStyle w:val="Listepuces"/>
        <w:rPr>
          <w:u w:color="FF0000"/>
        </w:rPr>
      </w:pPr>
      <w:r>
        <w:rPr>
          <w:u w:color="FF0000"/>
        </w:rPr>
        <w:t xml:space="preserve">C3 = 10 to 200 µm </w:t>
      </w:r>
    </w:p>
    <w:p w:rsidR="00441431" w:rsidRDefault="00441431" w:rsidP="00441431">
      <w:pPr>
        <w:pStyle w:val="Paragraphestandard"/>
        <w:rPr>
          <w:rFonts w:cs="Arial"/>
          <w:u w:color="FF0000"/>
        </w:rPr>
      </w:pPr>
      <w:r w:rsidRPr="00286384">
        <w:rPr>
          <w:rFonts w:cs="Arial"/>
          <w:u w:color="FF0000"/>
        </w:rPr>
        <w:t xml:space="preserve">At laboratory, analyses of </w:t>
      </w:r>
      <w:r>
        <w:rPr>
          <w:rFonts w:cs="Arial"/>
          <w:u w:color="FF0000"/>
        </w:rPr>
        <w:t>c</w:t>
      </w:r>
      <w:r w:rsidRPr="00286384">
        <w:rPr>
          <w:rFonts w:cs="Arial"/>
          <w:u w:color="FF0000"/>
        </w:rPr>
        <w:t xml:space="preserve">hlorophyll </w:t>
      </w:r>
      <w:r w:rsidRPr="00441431">
        <w:rPr>
          <w:rFonts w:cs="Arial"/>
          <w:i/>
          <w:u w:color="FF0000"/>
        </w:rPr>
        <w:t>a</w:t>
      </w:r>
      <w:r w:rsidRPr="00286384">
        <w:rPr>
          <w:rFonts w:cs="Arial"/>
          <w:u w:color="FF0000"/>
        </w:rPr>
        <w:t xml:space="preserve"> concentrations will allow to assess </w:t>
      </w:r>
      <w:r>
        <w:rPr>
          <w:rFonts w:cs="Arial"/>
          <w:u w:color="FF0000"/>
        </w:rPr>
        <w:t>c</w:t>
      </w:r>
      <w:r w:rsidRPr="00286384">
        <w:rPr>
          <w:rFonts w:eastAsia="Arial Unicode MS" w:cs="Arial"/>
        </w:rPr>
        <w:t xml:space="preserve">hanges over the 24 h incubation period </w:t>
      </w:r>
      <w:r>
        <w:rPr>
          <w:rFonts w:eastAsia="Arial Unicode MS" w:cs="Arial"/>
        </w:rPr>
        <w:t>and</w:t>
      </w:r>
      <w:r w:rsidRPr="00286384">
        <w:rPr>
          <w:rFonts w:eastAsia="Arial Unicode MS" w:cs="Arial"/>
        </w:rPr>
        <w:t xml:space="preserve"> will be used to calculate the instantaneous phytoplankton</w:t>
      </w:r>
      <w:r>
        <w:rPr>
          <w:rFonts w:eastAsia="Arial Unicode MS" w:cs="Arial"/>
        </w:rPr>
        <w:t xml:space="preserve"> </w:t>
      </w:r>
      <w:r w:rsidRPr="00286384">
        <w:rPr>
          <w:rFonts w:eastAsia="Arial Unicode MS" w:cs="Arial"/>
        </w:rPr>
        <w:t>growth (</w:t>
      </w:r>
      <w:r w:rsidRPr="00286384">
        <w:rPr>
          <w:rFonts w:eastAsia="Arial Unicode MS" w:cs="Arial"/>
          <w:i/>
        </w:rPr>
        <w:t>k</w:t>
      </w:r>
      <w:r w:rsidRPr="00286384">
        <w:rPr>
          <w:rFonts w:eastAsia="Arial Unicode MS" w:cs="Arial"/>
        </w:rPr>
        <w:t>, d</w:t>
      </w:r>
      <w:r w:rsidRPr="00286384">
        <w:rPr>
          <w:rFonts w:eastAsia="AdvTT5235d5a9+22" w:cs="Arial"/>
          <w:vertAlign w:val="superscript"/>
        </w:rPr>
        <w:t>−</w:t>
      </w:r>
      <w:r w:rsidRPr="00286384">
        <w:rPr>
          <w:rFonts w:eastAsia="Arial Unicode MS" w:cs="Arial"/>
          <w:vertAlign w:val="superscript"/>
        </w:rPr>
        <w:t>1</w:t>
      </w:r>
      <w:r w:rsidRPr="00286384">
        <w:rPr>
          <w:rFonts w:eastAsia="Arial Unicode MS" w:cs="Arial"/>
        </w:rPr>
        <w:t>), assuming an exponential increase and grazing related mortality (</w:t>
      </w:r>
      <w:r w:rsidRPr="00286384">
        <w:rPr>
          <w:rFonts w:eastAsia="Arial Unicode MS" w:cs="Arial"/>
          <w:i/>
        </w:rPr>
        <w:t>g</w:t>
      </w:r>
      <w:r w:rsidRPr="00286384">
        <w:rPr>
          <w:rFonts w:eastAsia="Arial Unicode MS" w:cs="Arial"/>
        </w:rPr>
        <w:t>, d</w:t>
      </w:r>
      <w:r w:rsidRPr="00286384">
        <w:rPr>
          <w:rFonts w:eastAsia="AdvTT5235d5a9+22" w:cs="Arial"/>
          <w:vertAlign w:val="superscript"/>
        </w:rPr>
        <w:t>−</w:t>
      </w:r>
      <w:r w:rsidRPr="00286384">
        <w:rPr>
          <w:rFonts w:eastAsia="Arial Unicode MS" w:cs="Arial"/>
          <w:vertAlign w:val="superscript"/>
        </w:rPr>
        <w:t>1</w:t>
      </w:r>
      <w:r w:rsidRPr="00286384">
        <w:rPr>
          <w:rFonts w:eastAsia="Arial Unicode MS" w:cs="Arial"/>
        </w:rPr>
        <w:t>; Landry and Hassett 1982). The coefficients</w:t>
      </w:r>
      <w:r>
        <w:rPr>
          <w:rFonts w:eastAsia="Arial Unicode MS" w:cs="Arial"/>
        </w:rPr>
        <w:t xml:space="preserve"> </w:t>
      </w:r>
      <w:r w:rsidRPr="00286384">
        <w:rPr>
          <w:rFonts w:eastAsia="Arial Unicode MS" w:cs="Arial"/>
          <w:i/>
        </w:rPr>
        <w:t>k</w:t>
      </w:r>
      <w:r w:rsidRPr="00286384">
        <w:rPr>
          <w:rFonts w:eastAsia="Arial Unicode MS" w:cs="Arial"/>
        </w:rPr>
        <w:t xml:space="preserve"> and </w:t>
      </w:r>
      <w:r w:rsidRPr="00286384">
        <w:rPr>
          <w:rFonts w:eastAsia="Arial Unicode MS" w:cs="Arial"/>
          <w:i/>
        </w:rPr>
        <w:t>g</w:t>
      </w:r>
      <w:r w:rsidRPr="00286384">
        <w:rPr>
          <w:rFonts w:eastAsia="Arial Unicode MS" w:cs="Arial"/>
        </w:rPr>
        <w:t xml:space="preserve"> will be determined from the best fit of the linear model linking apparent phytoplankton growth (</w:t>
      </w:r>
      <w:r w:rsidRPr="00441431">
        <w:rPr>
          <w:rFonts w:eastAsia="Arial Unicode MS" w:cs="Arial"/>
          <w:i/>
        </w:rPr>
        <w:t>μ</w:t>
      </w:r>
      <w:r w:rsidRPr="00286384">
        <w:rPr>
          <w:rFonts w:eastAsia="Arial Unicode MS" w:cs="Arial"/>
        </w:rPr>
        <w:t xml:space="preserve">) versus the fraction of whole </w:t>
      </w:r>
      <w:r>
        <w:rPr>
          <w:rFonts w:eastAsia="Arial Unicode MS" w:cs="Arial"/>
        </w:rPr>
        <w:t>sea</w:t>
      </w:r>
      <w:r w:rsidRPr="00286384">
        <w:rPr>
          <w:rFonts w:eastAsia="Arial Unicode MS" w:cs="Arial"/>
        </w:rPr>
        <w:t>water</w:t>
      </w:r>
      <w:r>
        <w:rPr>
          <w:rFonts w:cs="Arial"/>
          <w:u w:color="FF0000"/>
        </w:rPr>
        <w:t>. Microzooplankton grazing pressure (</w:t>
      </w:r>
      <w:r w:rsidRPr="00286384">
        <w:rPr>
          <w:rFonts w:cs="Arial"/>
          <w:i/>
          <w:u w:color="FF0000"/>
        </w:rPr>
        <w:t>Pµ</w:t>
      </w:r>
      <w:r>
        <w:rPr>
          <w:rFonts w:cs="Arial"/>
          <w:u w:color="FF0000"/>
        </w:rPr>
        <w:t>; %Chl </w:t>
      </w:r>
      <w:r w:rsidRPr="00286384">
        <w:rPr>
          <w:rFonts w:cs="Arial"/>
          <w:i/>
          <w:u w:color="FF0000"/>
        </w:rPr>
        <w:t>a</w:t>
      </w:r>
      <w:r>
        <w:rPr>
          <w:rFonts w:cs="Arial"/>
          <w:u w:color="FF0000"/>
        </w:rPr>
        <w:t xml:space="preserve"> standing stock d</w:t>
      </w:r>
      <w:r>
        <w:rPr>
          <w:rFonts w:cs="Arial"/>
          <w:u w:color="FF0000"/>
          <w:vertAlign w:val="superscript"/>
        </w:rPr>
        <w:t>–</w:t>
      </w:r>
      <w:r w:rsidRPr="002B1D16">
        <w:rPr>
          <w:rFonts w:cs="Arial"/>
          <w:u w:color="FF0000"/>
          <w:vertAlign w:val="superscript"/>
        </w:rPr>
        <w:t>1</w:t>
      </w:r>
      <w:r>
        <w:rPr>
          <w:rFonts w:cs="Arial"/>
          <w:u w:color="FF0000"/>
        </w:rPr>
        <w:t xml:space="preserve">) will be calculated following </w:t>
      </w:r>
      <w:r w:rsidRPr="00441431">
        <w:rPr>
          <w:rFonts w:cs="Arial"/>
          <w:i/>
          <w:u w:color="FF0000"/>
        </w:rPr>
        <w:t>Pµ</w:t>
      </w:r>
      <w:r>
        <w:rPr>
          <w:rFonts w:cs="Arial"/>
          <w:i/>
          <w:u w:color="FF0000"/>
        </w:rPr>
        <w:t> </w:t>
      </w:r>
      <w:r>
        <w:rPr>
          <w:rFonts w:cs="Arial"/>
          <w:u w:color="FF0000"/>
        </w:rPr>
        <w:t>= </w:t>
      </w:r>
      <w:r w:rsidRPr="00441431">
        <w:rPr>
          <w:rFonts w:cs="Arial"/>
          <w:i/>
          <w:u w:color="FF0000"/>
        </w:rPr>
        <w:t>Iµ</w:t>
      </w:r>
      <w:r>
        <w:rPr>
          <w:rFonts w:cs="Arial"/>
          <w:u w:color="FF0000"/>
        </w:rPr>
        <w:t xml:space="preserve">/Co, where </w:t>
      </w:r>
      <w:r w:rsidRPr="002B1D16">
        <w:rPr>
          <w:rFonts w:cs="Arial"/>
          <w:i/>
          <w:u w:color="FF0000"/>
        </w:rPr>
        <w:t>Iµ</w:t>
      </w:r>
      <w:r>
        <w:rPr>
          <w:rFonts w:cs="Arial"/>
          <w:u w:color="FF0000"/>
        </w:rPr>
        <w:t xml:space="preserve"> is the daily consumption of Chl </w:t>
      </w:r>
      <w:r w:rsidRPr="00441431">
        <w:rPr>
          <w:rFonts w:cs="Arial"/>
          <w:i/>
          <w:u w:color="FF0000"/>
        </w:rPr>
        <w:t>a</w:t>
      </w:r>
      <w:r>
        <w:rPr>
          <w:rFonts w:cs="Arial"/>
          <w:u w:color="FF0000"/>
        </w:rPr>
        <w:t xml:space="preserve"> by microzooplankton (µg Chl </w:t>
      </w:r>
      <w:r w:rsidRPr="00441431">
        <w:rPr>
          <w:rFonts w:cs="Arial"/>
          <w:i/>
          <w:u w:color="FF0000"/>
        </w:rPr>
        <w:t>a</w:t>
      </w:r>
      <w:r>
        <w:rPr>
          <w:rFonts w:cs="Arial"/>
          <w:u w:color="FF0000"/>
        </w:rPr>
        <w:t xml:space="preserve"> L</w:t>
      </w:r>
      <w:r>
        <w:rPr>
          <w:rFonts w:cs="Arial"/>
          <w:u w:color="FF0000"/>
          <w:vertAlign w:val="superscript"/>
        </w:rPr>
        <w:t>–</w:t>
      </w:r>
      <w:r w:rsidRPr="00286384">
        <w:rPr>
          <w:rFonts w:cs="Arial"/>
          <w:u w:color="FF0000"/>
          <w:vertAlign w:val="superscript"/>
        </w:rPr>
        <w:t>1</w:t>
      </w:r>
      <w:r>
        <w:rPr>
          <w:rFonts w:cs="Arial"/>
          <w:u w:color="FF0000"/>
        </w:rPr>
        <w:t xml:space="preserve"> d</w:t>
      </w:r>
      <w:r>
        <w:rPr>
          <w:rFonts w:cs="Arial"/>
          <w:u w:color="FF0000"/>
          <w:vertAlign w:val="superscript"/>
        </w:rPr>
        <w:t>–</w:t>
      </w:r>
      <w:r w:rsidRPr="00286384">
        <w:rPr>
          <w:rFonts w:cs="Arial"/>
          <w:u w:color="FF0000"/>
          <w:vertAlign w:val="superscript"/>
        </w:rPr>
        <w:t>1</w:t>
      </w:r>
      <w:r>
        <w:rPr>
          <w:rFonts w:cs="Arial"/>
          <w:u w:color="FF0000"/>
        </w:rPr>
        <w:t xml:space="preserve">) and calculated as </w:t>
      </w:r>
      <w:r w:rsidRPr="00441431">
        <w:rPr>
          <w:rFonts w:cs="Arial"/>
          <w:i/>
          <w:u w:color="FF0000"/>
        </w:rPr>
        <w:t>Iµ</w:t>
      </w:r>
      <w:r>
        <w:rPr>
          <w:rFonts w:cs="Arial"/>
          <w:u w:color="FF0000"/>
        </w:rPr>
        <w:t> = </w:t>
      </w:r>
      <w:r w:rsidRPr="00441431">
        <w:rPr>
          <w:rFonts w:cs="Arial"/>
          <w:i/>
          <w:u w:color="FF0000"/>
        </w:rPr>
        <w:t>Cm</w:t>
      </w:r>
      <w:r>
        <w:rPr>
          <w:rFonts w:cs="Arial"/>
          <w:u w:color="FF0000"/>
        </w:rPr>
        <w:t> </w:t>
      </w:r>
      <w:r w:rsidRPr="00441431">
        <w:rPr>
          <w:rFonts w:cs="Arial"/>
          <w:sz w:val="20"/>
          <w:szCs w:val="20"/>
          <w:u w:color="FF0000"/>
        </w:rPr>
        <w:t>x</w:t>
      </w:r>
      <w:r>
        <w:rPr>
          <w:rFonts w:cs="Arial"/>
          <w:u w:color="FF0000"/>
        </w:rPr>
        <w:t> </w:t>
      </w:r>
      <w:r w:rsidRPr="00441431">
        <w:rPr>
          <w:rFonts w:cs="Arial"/>
          <w:i/>
          <w:u w:color="FF0000"/>
        </w:rPr>
        <w:t>g</w:t>
      </w:r>
      <w:r>
        <w:rPr>
          <w:rFonts w:cs="Arial"/>
          <w:u w:color="FF0000"/>
        </w:rPr>
        <w:t xml:space="preserve">. </w:t>
      </w:r>
      <w:r w:rsidRPr="00441431">
        <w:rPr>
          <w:rFonts w:cs="Arial"/>
          <w:i/>
          <w:u w:color="FF0000"/>
        </w:rPr>
        <w:t>Cm</w:t>
      </w:r>
      <w:r>
        <w:rPr>
          <w:rFonts w:cs="Arial"/>
          <w:u w:color="FF0000"/>
        </w:rPr>
        <w:t xml:space="preserve"> is the mean Chl </w:t>
      </w:r>
      <w:r w:rsidRPr="00286384">
        <w:rPr>
          <w:rFonts w:cs="Arial"/>
          <w:i/>
          <w:u w:color="FF0000"/>
        </w:rPr>
        <w:t>a</w:t>
      </w:r>
      <w:r>
        <w:rPr>
          <w:rFonts w:cs="Arial"/>
          <w:u w:color="FF0000"/>
        </w:rPr>
        <w:t xml:space="preserve"> concentration throughout the incubation (µg Chla L</w:t>
      </w:r>
      <w:r w:rsidRPr="00286384">
        <w:rPr>
          <w:rFonts w:cs="Arial"/>
          <w:u w:color="FF0000"/>
          <w:vertAlign w:val="superscript"/>
        </w:rPr>
        <w:t>-1</w:t>
      </w:r>
      <w:r>
        <w:rPr>
          <w:rFonts w:cs="Arial"/>
          <w:u w:color="FF0000"/>
        </w:rPr>
        <w:t xml:space="preserve">), defined from Frost (1972). </w:t>
      </w:r>
    </w:p>
    <w:p w:rsidR="00441431" w:rsidRDefault="00441431" w:rsidP="00441431">
      <w:pPr>
        <w:pStyle w:val="Paragraphestandard"/>
        <w:rPr>
          <w:u w:color="FF0000"/>
        </w:rPr>
      </w:pPr>
      <w:r w:rsidRPr="00DB5522">
        <w:rPr>
          <w:b/>
          <w:u w:val="single"/>
        </w:rPr>
        <w:t>Mesozoo</w:t>
      </w:r>
      <w:r w:rsidRPr="00DB5522">
        <w:rPr>
          <w:b/>
        </w:rPr>
        <w:t>p</w:t>
      </w:r>
      <w:r w:rsidRPr="00DB5522">
        <w:rPr>
          <w:b/>
          <w:u w:val="single"/>
        </w:rPr>
        <w:t xml:space="preserve">lankton </w:t>
      </w:r>
      <w:r w:rsidRPr="00DB5522">
        <w:rPr>
          <w:b/>
        </w:rPr>
        <w:t>g</w:t>
      </w:r>
      <w:r w:rsidRPr="00DB5522">
        <w:rPr>
          <w:b/>
          <w:u w:val="single"/>
        </w:rPr>
        <w:t>razin</w:t>
      </w:r>
      <w:r w:rsidRPr="00DB5522">
        <w:rPr>
          <w:b/>
        </w:rPr>
        <w:t>g</w:t>
      </w:r>
      <w:r>
        <w:rPr>
          <w:u w:color="FF0000"/>
        </w:rPr>
        <w:t xml:space="preserve"> estimations followed the protocol of Vincent &amp; Hartmann (2001). At the beginning and end of each incubation, all bottles (3 controls and 3 to 6 bottles containing copepods) were sampled for:</w:t>
      </w:r>
    </w:p>
    <w:p w:rsidR="00441431" w:rsidRPr="00441431" w:rsidRDefault="00441431" w:rsidP="00441431">
      <w:pPr>
        <w:pStyle w:val="Listepuces"/>
        <w:rPr>
          <w:u w:color="FF0000"/>
          <w:lang w:val="en-US"/>
        </w:rPr>
      </w:pPr>
      <w:r>
        <w:rPr>
          <w:u w:color="FF0000"/>
          <w:lang w:val="en-US"/>
        </w:rPr>
        <w:t>t</w:t>
      </w:r>
      <w:r w:rsidRPr="00441431">
        <w:rPr>
          <w:u w:color="FF0000"/>
          <w:lang w:val="en-US"/>
        </w:rPr>
        <w:t>otal Chl </w:t>
      </w:r>
      <w:r w:rsidRPr="00441431">
        <w:rPr>
          <w:i/>
          <w:u w:color="FF0000"/>
          <w:lang w:val="en-US"/>
        </w:rPr>
        <w:t>a</w:t>
      </w:r>
      <w:r>
        <w:rPr>
          <w:u w:color="FF0000"/>
          <w:lang w:val="en-US"/>
        </w:rPr>
        <w:t xml:space="preserve"> (GF/F filters),</w:t>
      </w:r>
    </w:p>
    <w:p w:rsidR="00441431" w:rsidRPr="00441431" w:rsidRDefault="00441431" w:rsidP="00441431">
      <w:pPr>
        <w:pStyle w:val="Listepuces"/>
        <w:rPr>
          <w:u w:color="FF0000"/>
          <w:lang w:val="en-US"/>
        </w:rPr>
      </w:pPr>
      <w:r>
        <w:rPr>
          <w:u w:color="FF0000"/>
          <w:lang w:val="en-US"/>
        </w:rPr>
        <w:t>p</w:t>
      </w:r>
      <w:r w:rsidRPr="00441431">
        <w:rPr>
          <w:u w:color="FF0000"/>
          <w:lang w:val="en-US"/>
        </w:rPr>
        <w:t>hytoplankton taxonomy (100 mL seawater preserved with acid lugol at 2% final concentration,</w:t>
      </w:r>
    </w:p>
    <w:p w:rsidR="00441431" w:rsidRPr="00441431" w:rsidRDefault="00441431" w:rsidP="00441431">
      <w:pPr>
        <w:pStyle w:val="Listepuces"/>
        <w:rPr>
          <w:u w:color="FF0000"/>
          <w:lang w:val="en-US"/>
        </w:rPr>
      </w:pPr>
      <w:r>
        <w:rPr>
          <w:u w:color="FF0000"/>
          <w:lang w:val="en-US"/>
        </w:rPr>
        <w:t>m</w:t>
      </w:r>
      <w:r w:rsidRPr="00441431">
        <w:rPr>
          <w:u w:color="FF0000"/>
          <w:lang w:val="en-US"/>
        </w:rPr>
        <w:t>icrozooplankton taxonomy (500 mL seawater preserved with acid lugol at 2%)</w:t>
      </w:r>
      <w:r>
        <w:rPr>
          <w:u w:color="FF0000"/>
          <w:lang w:val="en-US"/>
        </w:rPr>
        <w:t>,</w:t>
      </w:r>
      <w:r w:rsidRPr="00441431">
        <w:rPr>
          <w:u w:color="FF0000"/>
          <w:lang w:val="en-US"/>
        </w:rPr>
        <w:t xml:space="preserve"> </w:t>
      </w:r>
    </w:p>
    <w:p w:rsidR="00441431" w:rsidRPr="00441431" w:rsidRDefault="00441431" w:rsidP="00441431">
      <w:pPr>
        <w:pStyle w:val="Listepuces"/>
        <w:rPr>
          <w:u w:color="FF0000"/>
          <w:lang w:val="en-US"/>
        </w:rPr>
      </w:pPr>
      <w:r w:rsidRPr="00441431">
        <w:rPr>
          <w:u w:color="FF0000"/>
          <w:lang w:val="en-US"/>
        </w:rPr>
        <w:t>incubated copepods which were retrieved on 200 µm mesh sieve and preserved in formalin (4%)</w:t>
      </w:r>
      <w:r>
        <w:rPr>
          <w:u w:color="FF0000"/>
          <w:lang w:val="en-US"/>
        </w:rPr>
        <w:t>,</w:t>
      </w:r>
    </w:p>
    <w:p w:rsidR="00441431" w:rsidRPr="00E7030C" w:rsidRDefault="00441431" w:rsidP="00441431">
      <w:pPr>
        <w:pStyle w:val="Listepuces"/>
        <w:rPr>
          <w:u w:color="FF0000"/>
          <w:lang w:val="en-US"/>
        </w:rPr>
      </w:pPr>
      <w:r w:rsidRPr="00E7030C">
        <w:rPr>
          <w:u w:color="FF0000"/>
          <w:lang w:val="en-US"/>
        </w:rPr>
        <w:lastRenderedPageBreak/>
        <w:t>Fecal pellets produced during the incubation (directly filtered by gravity onto GF/A or GF/F filters).</w:t>
      </w:r>
    </w:p>
    <w:p w:rsidR="00441431" w:rsidRPr="00886475" w:rsidRDefault="00441431" w:rsidP="00441431">
      <w:pPr>
        <w:pStyle w:val="Paragraphestandard"/>
        <w:rPr>
          <w:rFonts w:cs="Arial"/>
          <w:u w:color="FF0000"/>
        </w:rPr>
      </w:pPr>
      <w:r w:rsidRPr="00886475">
        <w:rPr>
          <w:rFonts w:cs="Arial"/>
          <w:u w:color="FF0000"/>
        </w:rPr>
        <w:t xml:space="preserve">At laboratory, changes in chlorophyll </w:t>
      </w:r>
      <w:r w:rsidRPr="00886475">
        <w:rPr>
          <w:rFonts w:cs="Arial"/>
          <w:i/>
          <w:u w:color="FF0000"/>
        </w:rPr>
        <w:t>a</w:t>
      </w:r>
      <w:r w:rsidRPr="00886475">
        <w:rPr>
          <w:rFonts w:cs="Arial"/>
          <w:u w:color="FF0000"/>
        </w:rPr>
        <w:t xml:space="preserve"> / phytoplankton concentrations over the course of the incubation will allow to estimate apparent phytoplankton growth rates in control bottles (</w:t>
      </w:r>
      <w:r w:rsidRPr="00886475">
        <w:rPr>
          <w:rFonts w:cs="Arial"/>
          <w:i/>
          <w:u w:color="FF0000"/>
        </w:rPr>
        <w:t>k</w:t>
      </w:r>
      <w:r w:rsidRPr="00886475">
        <w:rPr>
          <w:rFonts w:cs="Arial"/>
          <w:u w:color="FF0000"/>
        </w:rPr>
        <w:t>, h</w:t>
      </w:r>
      <w:r w:rsidRPr="00886475">
        <w:rPr>
          <w:rFonts w:cs="Arial"/>
          <w:u w:color="FF0000"/>
          <w:vertAlign w:val="superscript"/>
        </w:rPr>
        <w:t>–1</w:t>
      </w:r>
      <w:r w:rsidRPr="00886475">
        <w:rPr>
          <w:rFonts w:cs="Arial"/>
          <w:u w:color="FF0000"/>
        </w:rPr>
        <w:t>).  Copepod grazing rates (</w:t>
      </w:r>
      <w:r w:rsidRPr="00886475">
        <w:rPr>
          <w:rFonts w:cs="Arial"/>
          <w:i/>
          <w:u w:color="FF0000"/>
        </w:rPr>
        <w:t>g</w:t>
      </w:r>
      <w:r w:rsidRPr="00886475">
        <w:rPr>
          <w:rFonts w:cs="Arial"/>
          <w:u w:color="FF0000"/>
        </w:rPr>
        <w:t>, d</w:t>
      </w:r>
      <w:r w:rsidRPr="00886475">
        <w:rPr>
          <w:rFonts w:cs="Arial"/>
          <w:u w:color="FF0000"/>
          <w:vertAlign w:val="superscript"/>
        </w:rPr>
        <w:t>–1</w:t>
      </w:r>
      <w:r w:rsidRPr="00886475">
        <w:rPr>
          <w:rFonts w:cs="Arial"/>
          <w:u w:color="FF0000"/>
        </w:rPr>
        <w:t>) as well as clearance rates (</w:t>
      </w:r>
      <w:r w:rsidRPr="00886475">
        <w:rPr>
          <w:rFonts w:cs="Arial"/>
          <w:i/>
          <w:u w:color="FF0000"/>
        </w:rPr>
        <w:t>F</w:t>
      </w:r>
      <w:r w:rsidRPr="00886475">
        <w:rPr>
          <w:rFonts w:cs="Arial"/>
          <w:u w:color="FF0000"/>
        </w:rPr>
        <w:t>, mL ind</w:t>
      </w:r>
      <w:r w:rsidRPr="00886475">
        <w:rPr>
          <w:rFonts w:cs="Arial"/>
          <w:u w:color="FF0000"/>
          <w:vertAlign w:val="superscript"/>
        </w:rPr>
        <w:t>–1</w:t>
      </w:r>
      <w:r w:rsidRPr="00886475">
        <w:rPr>
          <w:rFonts w:cs="Arial"/>
          <w:u w:color="FF0000"/>
        </w:rPr>
        <w:t xml:space="preserve"> d</w:t>
      </w:r>
      <w:r w:rsidRPr="00886475">
        <w:rPr>
          <w:rFonts w:cs="Arial"/>
          <w:u w:color="FF0000"/>
          <w:vertAlign w:val="superscript"/>
        </w:rPr>
        <w:t>–1</w:t>
      </w:r>
      <w:r w:rsidRPr="00886475">
        <w:rPr>
          <w:rFonts w:cs="Arial"/>
          <w:u w:color="FF0000"/>
        </w:rPr>
        <w:t>) and ingestion rates (µg Chl </w:t>
      </w:r>
      <w:r w:rsidRPr="00886475">
        <w:rPr>
          <w:rFonts w:cs="Arial"/>
          <w:i/>
          <w:u w:color="FF0000"/>
        </w:rPr>
        <w:t>a</w:t>
      </w:r>
      <w:r w:rsidRPr="00886475">
        <w:rPr>
          <w:rFonts w:cs="Arial"/>
          <w:u w:color="FF0000"/>
        </w:rPr>
        <w:t>, µgC or number of prey ingested ind</w:t>
      </w:r>
      <w:r w:rsidR="00886475" w:rsidRPr="00886475">
        <w:rPr>
          <w:rFonts w:cs="Arial"/>
          <w:u w:color="FF0000"/>
          <w:vertAlign w:val="superscript"/>
        </w:rPr>
        <w:t>–</w:t>
      </w:r>
      <w:r w:rsidRPr="00886475">
        <w:rPr>
          <w:rFonts w:cs="Arial"/>
          <w:u w:color="FF0000"/>
          <w:vertAlign w:val="superscript"/>
        </w:rPr>
        <w:t>1</w:t>
      </w:r>
      <w:r w:rsidRPr="00886475">
        <w:rPr>
          <w:rFonts w:cs="Arial"/>
          <w:u w:color="FF0000"/>
        </w:rPr>
        <w:t xml:space="preserve"> d</w:t>
      </w:r>
      <w:r w:rsidR="00886475" w:rsidRPr="00886475">
        <w:rPr>
          <w:rFonts w:cs="Arial"/>
          <w:u w:color="FF0000"/>
          <w:vertAlign w:val="superscript"/>
        </w:rPr>
        <w:t>–</w:t>
      </w:r>
      <w:r w:rsidRPr="00886475">
        <w:rPr>
          <w:rFonts w:cs="Arial"/>
          <w:u w:color="FF0000"/>
          <w:vertAlign w:val="superscript"/>
        </w:rPr>
        <w:t>1</w:t>
      </w:r>
      <w:r w:rsidRPr="00886475">
        <w:rPr>
          <w:rFonts w:cs="Arial"/>
          <w:u w:color="FF0000"/>
        </w:rPr>
        <w:t>) will be estimated from changes in prey concentration over time in bottles containing copepods. Other parameters will be derived from taxonomic analyses of prey assemblages (phyto</w:t>
      </w:r>
      <w:r w:rsidR="00886475" w:rsidRPr="00886475">
        <w:rPr>
          <w:rFonts w:cs="Arial"/>
          <w:u w:color="FF0000"/>
        </w:rPr>
        <w:t>–</w:t>
      </w:r>
      <w:r w:rsidRPr="00886475">
        <w:rPr>
          <w:rFonts w:cs="Arial"/>
          <w:u w:color="FF0000"/>
        </w:rPr>
        <w:t xml:space="preserve"> and micro</w:t>
      </w:r>
      <w:r w:rsidR="00886475" w:rsidRPr="00886475">
        <w:rPr>
          <w:rFonts w:cs="Arial"/>
          <w:u w:color="FF0000"/>
        </w:rPr>
        <w:t>–</w:t>
      </w:r>
      <w:r w:rsidRPr="00886475">
        <w:rPr>
          <w:rFonts w:cs="Arial"/>
          <w:u w:color="FF0000"/>
        </w:rPr>
        <w:t>zooplankton counts) and concern copepod selectivity (</w:t>
      </w:r>
      <w:r w:rsidRPr="00886475">
        <w:rPr>
          <w:rFonts w:cs="Arial"/>
          <w:i/>
          <w:u w:color="FF0000"/>
        </w:rPr>
        <w:t>e.g.</w:t>
      </w:r>
      <w:r w:rsidRPr="00886475">
        <w:rPr>
          <w:rFonts w:cs="Arial"/>
          <w:u w:color="FF0000"/>
        </w:rPr>
        <w:t xml:space="preserve"> Ivlev index, Ivlev</w:t>
      </w:r>
      <w:r w:rsidR="00886475" w:rsidRPr="00886475">
        <w:rPr>
          <w:rFonts w:cs="Arial"/>
          <w:u w:color="FF0000"/>
        </w:rPr>
        <w:t>,</w:t>
      </w:r>
      <w:r w:rsidRPr="00886475">
        <w:rPr>
          <w:rFonts w:cs="Arial"/>
          <w:u w:color="FF0000"/>
        </w:rPr>
        <w:t xml:space="preserve"> 1961) as well as feeding target (</w:t>
      </w:r>
      <w:r w:rsidRPr="00886475">
        <w:rPr>
          <w:rFonts w:cs="Arial"/>
          <w:i/>
          <w:u w:color="FF0000"/>
        </w:rPr>
        <w:t>e.g.</w:t>
      </w:r>
      <w:r w:rsidRPr="00886475">
        <w:rPr>
          <w:rFonts w:cs="Arial"/>
          <w:u w:color="FF0000"/>
        </w:rPr>
        <w:t xml:space="preserve"> Meunier </w:t>
      </w:r>
      <w:r w:rsidR="00886475" w:rsidRPr="00886475">
        <w:rPr>
          <w:rFonts w:eastAsia="Times New Roman" w:cs="Arial"/>
          <w:i/>
          <w:u w:color="FF0000"/>
          <w:lang w:eastAsia="fr-FR"/>
        </w:rPr>
        <w:t>et al.,</w:t>
      </w:r>
      <w:r w:rsidRPr="00886475">
        <w:rPr>
          <w:rFonts w:cs="Arial"/>
          <w:u w:color="FF0000"/>
        </w:rPr>
        <w:t xml:space="preserve"> 2018). </w:t>
      </w:r>
    </w:p>
    <w:p w:rsidR="00441431" w:rsidRPr="00886475" w:rsidRDefault="00441431" w:rsidP="00441431">
      <w:pPr>
        <w:pStyle w:val="Paragraphestandard"/>
        <w:rPr>
          <w:rFonts w:cs="Arial"/>
          <w:u w:color="FF0000"/>
        </w:rPr>
      </w:pPr>
      <w:r w:rsidRPr="00886475">
        <w:rPr>
          <w:rFonts w:cs="Arial"/>
          <w:u w:color="FF0000"/>
        </w:rPr>
        <w:t xml:space="preserve">Incubated copepods will be measured and staged so as to address the initial incubation conditions. Biometry could also be related to respiration rates (Mayzaud </w:t>
      </w:r>
      <w:r w:rsidR="00886475" w:rsidRPr="00886475">
        <w:rPr>
          <w:rFonts w:eastAsia="Times New Roman" w:cs="Arial"/>
          <w:i/>
          <w:u w:color="FF0000"/>
          <w:lang w:eastAsia="fr-FR"/>
        </w:rPr>
        <w:t>et al.,</w:t>
      </w:r>
      <w:r w:rsidRPr="00886475">
        <w:rPr>
          <w:rFonts w:cs="Arial"/>
          <w:u w:color="FF0000"/>
        </w:rPr>
        <w:t xml:space="preserve"> 2002) and compared to actual rates measured onboard by S. Blain. </w:t>
      </w:r>
    </w:p>
    <w:p w:rsidR="00441431" w:rsidRPr="001E65C2" w:rsidRDefault="00DB5522" w:rsidP="00441431">
      <w:pPr>
        <w:pStyle w:val="Paragraphestandard"/>
        <w:rPr>
          <w:u w:color="FF0000"/>
        </w:rPr>
      </w:pPr>
      <w:r w:rsidRPr="00DB5522">
        <w:rPr>
          <w:u w:color="FF0000"/>
        </w:rPr>
        <w:t>The</w:t>
      </w:r>
      <w:r>
        <w:rPr>
          <w:b/>
          <w:u w:color="FF0000"/>
        </w:rPr>
        <w:t xml:space="preserve"> </w:t>
      </w:r>
      <w:r w:rsidRPr="00DB5522">
        <w:rPr>
          <w:b/>
          <w:u w:val="single"/>
        </w:rPr>
        <w:t>n</w:t>
      </w:r>
      <w:r w:rsidR="00441431" w:rsidRPr="00DB5522">
        <w:rPr>
          <w:b/>
          <w:u w:val="single"/>
        </w:rPr>
        <w:t xml:space="preserve">umber of fecal </w:t>
      </w:r>
      <w:r w:rsidR="00441431" w:rsidRPr="00DB5522">
        <w:rPr>
          <w:b/>
        </w:rPr>
        <w:t>p</w:t>
      </w:r>
      <w:r w:rsidR="00441431" w:rsidRPr="00DB5522">
        <w:rPr>
          <w:b/>
          <w:u w:val="single"/>
        </w:rPr>
        <w:t>ellets</w:t>
      </w:r>
      <w:r w:rsidR="00441431">
        <w:rPr>
          <w:u w:color="FF0000"/>
        </w:rPr>
        <w:t xml:space="preserve"> produced over the course of experiments will be estimated from image system analyses of the filters (on a section, sub-section or a given diameter of the filter). Fecal pellets will be measured (length, width and biovolume) and counted to estimate the fecal pellet production rate as the number of fecal pellets produced (FP ind</w:t>
      </w:r>
      <w:r w:rsidR="002820C9">
        <w:rPr>
          <w:u w:color="FF0000"/>
          <w:vertAlign w:val="superscript"/>
        </w:rPr>
        <w:t>–</w:t>
      </w:r>
      <w:r w:rsidR="00441431" w:rsidRPr="000C42CC">
        <w:rPr>
          <w:u w:color="FF0000"/>
          <w:vertAlign w:val="superscript"/>
        </w:rPr>
        <w:t>1</w:t>
      </w:r>
      <w:r w:rsidR="00441431">
        <w:rPr>
          <w:u w:color="FF0000"/>
        </w:rPr>
        <w:t xml:space="preserve"> d</w:t>
      </w:r>
      <w:r w:rsidR="002820C9">
        <w:rPr>
          <w:u w:color="FF0000"/>
          <w:vertAlign w:val="superscript"/>
        </w:rPr>
        <w:t>–</w:t>
      </w:r>
      <w:r w:rsidR="00441431" w:rsidRPr="000C42CC">
        <w:rPr>
          <w:u w:color="FF0000"/>
          <w:vertAlign w:val="superscript"/>
        </w:rPr>
        <w:t>1</w:t>
      </w:r>
      <w:r w:rsidR="00441431">
        <w:rPr>
          <w:u w:color="FF0000"/>
        </w:rPr>
        <w:t>) or volume of particulate matter egested per day (µm</w:t>
      </w:r>
      <w:r w:rsidR="00441431" w:rsidRPr="00C37FCE">
        <w:rPr>
          <w:u w:color="FF0000"/>
          <w:vertAlign w:val="superscript"/>
        </w:rPr>
        <w:t>3</w:t>
      </w:r>
      <w:r w:rsidR="00441431">
        <w:rPr>
          <w:u w:color="FF0000"/>
        </w:rPr>
        <w:t xml:space="preserve"> ind</w:t>
      </w:r>
      <w:r w:rsidR="002820C9">
        <w:rPr>
          <w:u w:color="FF0000"/>
          <w:vertAlign w:val="superscript"/>
        </w:rPr>
        <w:t>–</w:t>
      </w:r>
      <w:r w:rsidR="00441431" w:rsidRPr="00C37FCE">
        <w:rPr>
          <w:u w:color="FF0000"/>
          <w:vertAlign w:val="superscript"/>
        </w:rPr>
        <w:t>1</w:t>
      </w:r>
      <w:r w:rsidR="00441431">
        <w:rPr>
          <w:u w:color="FF0000"/>
        </w:rPr>
        <w:t xml:space="preserve"> d</w:t>
      </w:r>
      <w:r w:rsidR="002820C9">
        <w:rPr>
          <w:u w:color="FF0000"/>
          <w:vertAlign w:val="superscript"/>
        </w:rPr>
        <w:t>–</w:t>
      </w:r>
      <w:r w:rsidR="00441431" w:rsidRPr="00C37FCE">
        <w:rPr>
          <w:u w:color="FF0000"/>
          <w:vertAlign w:val="superscript"/>
        </w:rPr>
        <w:t>1</w:t>
      </w:r>
      <w:r w:rsidR="00441431">
        <w:rPr>
          <w:u w:color="FF0000"/>
        </w:rPr>
        <w:t xml:space="preserve">).  </w:t>
      </w:r>
    </w:p>
    <w:p w:rsidR="00441431" w:rsidRDefault="00441431" w:rsidP="00441431">
      <w:pPr>
        <w:pStyle w:val="Paragraphestandard"/>
        <w:rPr>
          <w:u w:color="FF0000"/>
        </w:rPr>
      </w:pPr>
      <w:r w:rsidRPr="00DB5522">
        <w:rPr>
          <w:b/>
          <w:u w:val="single"/>
        </w:rPr>
        <w:t>Evacuation rates</w:t>
      </w:r>
      <w:r>
        <w:rPr>
          <w:u w:color="FF0000"/>
        </w:rPr>
        <w:t xml:space="preserve"> will be estimated from zooplankton species/groups/size fraction using time series frozen samples (from 10 to 90 min) after collection. The method is the same as for gut content and corresponds to 1) an extraction of pigments in acetone and 2) the measure of </w:t>
      </w:r>
      <w:r w:rsidR="002820C9">
        <w:rPr>
          <w:u w:color="FF0000"/>
        </w:rPr>
        <w:t>c</w:t>
      </w:r>
      <w:r>
        <w:rPr>
          <w:u w:color="FF0000"/>
        </w:rPr>
        <w:t xml:space="preserve">hlorophyll </w:t>
      </w:r>
      <w:r w:rsidRPr="002820C9">
        <w:rPr>
          <w:i/>
          <w:u w:color="FF0000"/>
        </w:rPr>
        <w:t>a</w:t>
      </w:r>
      <w:r>
        <w:rPr>
          <w:u w:color="FF0000"/>
        </w:rPr>
        <w:t xml:space="preserve"> gut content (ng </w:t>
      </w:r>
      <w:r w:rsidR="002820C9">
        <w:rPr>
          <w:u w:color="FF0000"/>
        </w:rPr>
        <w:t>C</w:t>
      </w:r>
      <w:r>
        <w:rPr>
          <w:u w:color="FF0000"/>
        </w:rPr>
        <w:t>hl</w:t>
      </w:r>
      <w:r w:rsidR="002820C9">
        <w:rPr>
          <w:u w:color="FF0000"/>
        </w:rPr>
        <w:t> </w:t>
      </w:r>
      <w:r w:rsidRPr="002820C9">
        <w:rPr>
          <w:i/>
          <w:u w:color="FF0000"/>
        </w:rPr>
        <w:t>a</w:t>
      </w:r>
      <w:r>
        <w:rPr>
          <w:u w:color="FF0000"/>
        </w:rPr>
        <w:t xml:space="preserve"> ind</w:t>
      </w:r>
      <w:r w:rsidR="002820C9" w:rsidRPr="002820C9">
        <w:rPr>
          <w:u w:color="FF0000"/>
          <w:vertAlign w:val="superscript"/>
        </w:rPr>
        <w:t>–1</w:t>
      </w:r>
      <w:r>
        <w:rPr>
          <w:u w:color="FF0000"/>
        </w:rPr>
        <w:t>). The decline in individual gut content over time (from 10 to 90 min) will be fitted with a negative exponential model (</w:t>
      </w:r>
      <w:r w:rsidRPr="00CD6252">
        <w:rPr>
          <w:i/>
          <w:u w:color="FF0000"/>
        </w:rPr>
        <w:t>e.g.</w:t>
      </w:r>
      <w:r>
        <w:rPr>
          <w:u w:color="FF0000"/>
        </w:rPr>
        <w:t xml:space="preserve"> </w:t>
      </w:r>
      <w:r w:rsidR="00CD6252" w:rsidRPr="00886475">
        <w:rPr>
          <w:rFonts w:cs="Arial"/>
          <w:u w:color="FF0000"/>
        </w:rPr>
        <w:t xml:space="preserve">Mayzaud </w:t>
      </w:r>
      <w:r w:rsidR="00CD6252" w:rsidRPr="00886475">
        <w:rPr>
          <w:rFonts w:eastAsia="Times New Roman" w:cs="Arial"/>
          <w:i/>
          <w:u w:color="FF0000"/>
          <w:lang w:eastAsia="fr-FR"/>
        </w:rPr>
        <w:t>et al.,</w:t>
      </w:r>
      <w:r w:rsidR="00CD6252" w:rsidRPr="00886475">
        <w:rPr>
          <w:rFonts w:cs="Arial"/>
          <w:u w:color="FF0000"/>
        </w:rPr>
        <w:t xml:space="preserve"> 2002</w:t>
      </w:r>
      <w:r>
        <w:rPr>
          <w:u w:color="FF0000"/>
        </w:rPr>
        <w:t>) to estimate gut evacuation rate (h</w:t>
      </w:r>
      <w:r w:rsidR="00CD6252">
        <w:rPr>
          <w:u w:color="FF0000"/>
          <w:vertAlign w:val="superscript"/>
        </w:rPr>
        <w:t>–</w:t>
      </w:r>
      <w:r w:rsidRPr="007A1609">
        <w:rPr>
          <w:u w:color="FF0000"/>
          <w:vertAlign w:val="superscript"/>
        </w:rPr>
        <w:t>1</w:t>
      </w:r>
      <w:r>
        <w:rPr>
          <w:u w:color="FF0000"/>
        </w:rPr>
        <w:t xml:space="preserve">). </w:t>
      </w:r>
    </w:p>
    <w:p w:rsidR="00496457" w:rsidRPr="007A4584" w:rsidRDefault="00441431" w:rsidP="00441431">
      <w:pPr>
        <w:pStyle w:val="Paragraphestandard"/>
        <w:rPr>
          <w:rFonts w:eastAsia="Arial" w:cs="Arial"/>
          <w:b/>
          <w:i/>
          <w:color w:val="FF0000"/>
          <w:lang w:eastAsia="es-ES_tradnl"/>
        </w:rPr>
      </w:pPr>
      <w:r>
        <w:rPr>
          <w:u w:color="FF0000"/>
        </w:rPr>
        <w:t xml:space="preserve">Ingestion rates (ng </w:t>
      </w:r>
      <w:r w:rsidR="00CD6252">
        <w:rPr>
          <w:u w:color="FF0000"/>
        </w:rPr>
        <w:t>C</w:t>
      </w:r>
      <w:r>
        <w:rPr>
          <w:u w:color="FF0000"/>
        </w:rPr>
        <w:t>hl</w:t>
      </w:r>
      <w:r w:rsidR="00CD6252">
        <w:rPr>
          <w:u w:color="FF0000"/>
        </w:rPr>
        <w:t> </w:t>
      </w:r>
      <w:r w:rsidRPr="00CD6252">
        <w:rPr>
          <w:i/>
          <w:u w:color="FF0000"/>
        </w:rPr>
        <w:t>a</w:t>
      </w:r>
      <w:r>
        <w:rPr>
          <w:u w:color="FF0000"/>
        </w:rPr>
        <w:t xml:space="preserve"> ind</w:t>
      </w:r>
      <w:r w:rsidR="00CD6252">
        <w:rPr>
          <w:u w:color="FF0000"/>
          <w:vertAlign w:val="superscript"/>
        </w:rPr>
        <w:t>–</w:t>
      </w:r>
      <w:r w:rsidRPr="007A1609">
        <w:rPr>
          <w:u w:color="FF0000"/>
          <w:vertAlign w:val="superscript"/>
        </w:rPr>
        <w:t>1</w:t>
      </w:r>
      <w:r>
        <w:rPr>
          <w:u w:color="FF0000"/>
        </w:rPr>
        <w:t xml:space="preserve"> d</w:t>
      </w:r>
      <w:r w:rsidR="00CD6252">
        <w:rPr>
          <w:u w:color="FF0000"/>
          <w:vertAlign w:val="superscript"/>
        </w:rPr>
        <w:t>–</w:t>
      </w:r>
      <w:r w:rsidRPr="007A1609">
        <w:rPr>
          <w:u w:color="FF0000"/>
          <w:vertAlign w:val="superscript"/>
        </w:rPr>
        <w:t>1</w:t>
      </w:r>
      <w:r>
        <w:rPr>
          <w:u w:color="FF0000"/>
        </w:rPr>
        <w:t xml:space="preserve">) will then be estimated from the product of gut content and gut evacuation rate following Bautista </w:t>
      </w:r>
      <w:r w:rsidR="00CD6252">
        <w:rPr>
          <w:u w:color="FF0000"/>
        </w:rPr>
        <w:t>&amp;</w:t>
      </w:r>
      <w:r>
        <w:rPr>
          <w:u w:color="FF0000"/>
        </w:rPr>
        <w:t xml:space="preserve"> Harris (1992).</w:t>
      </w:r>
    </w:p>
    <w:p w:rsidR="00AE2BD6" w:rsidRDefault="00AE2BD6" w:rsidP="00D0498F">
      <w:pPr>
        <w:pStyle w:val="Titre2"/>
      </w:pPr>
      <w:r>
        <w:t>Analytical procedure</w:t>
      </w:r>
    </w:p>
    <w:p w:rsidR="00E7030C" w:rsidRPr="00D7124D" w:rsidRDefault="00E7030C" w:rsidP="00E7030C">
      <w:pPr>
        <w:pStyle w:val="Paragraphestandard"/>
        <w:rPr>
          <w:u w:color="FF0000"/>
        </w:rPr>
      </w:pPr>
      <w:r w:rsidRPr="00D7124D">
        <w:rPr>
          <w:u w:color="FF0000"/>
        </w:rPr>
        <w:t>Chlorophyll a and pheopigments will be estimated by fluorimetry following Lorenzen (1966). Collected samples (filters or organisms) has been flash frozen (liquid nitrogen) and stored at -80°C onboard. In the laboratory, samples (filters or a defined number of copepods) will be extracted overnight in 90% acetone, and fluorescence values converted to pigment concentrations (chlorophyll a and pheopigments, µg L</w:t>
      </w:r>
      <w:r w:rsidRPr="00D7124D">
        <w:rPr>
          <w:rFonts w:hint="eastAsia"/>
          <w:u w:color="FF0000"/>
        </w:rPr>
        <w:t>−</w:t>
      </w:r>
      <w:r w:rsidRPr="00D7124D">
        <w:rPr>
          <w:u w:color="FF0000"/>
        </w:rPr>
        <w:t xml:space="preserve">1) using a standard chlorophyll </w:t>
      </w:r>
      <w:r w:rsidRPr="00D7124D">
        <w:rPr>
          <w:i/>
          <w:u w:color="FF0000"/>
        </w:rPr>
        <w:t>a</w:t>
      </w:r>
      <w:r w:rsidRPr="00D7124D">
        <w:rPr>
          <w:u w:color="FF0000"/>
        </w:rPr>
        <w:t xml:space="preserve"> solution (</w:t>
      </w:r>
      <w:r w:rsidRPr="00D7124D">
        <w:rPr>
          <w:i/>
          <w:u w:color="FF0000"/>
        </w:rPr>
        <w:t>Anacystis nidulans</w:t>
      </w:r>
      <w:r w:rsidRPr="00D7124D">
        <w:rPr>
          <w:u w:color="FF0000"/>
        </w:rPr>
        <w:t>, Sigma).</w:t>
      </w:r>
    </w:p>
    <w:p w:rsidR="00AE2BD6" w:rsidRDefault="00AE2BD6" w:rsidP="00D0498F">
      <w:pPr>
        <w:pStyle w:val="Titre2"/>
      </w:pPr>
      <w:r>
        <w:t>Units</w:t>
      </w:r>
    </w:p>
    <w:tbl>
      <w:tblPr>
        <w:tblStyle w:val="Grilledutablea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827"/>
      </w:tblGrid>
      <w:tr w:rsidR="008645D3" w:rsidRPr="008645D3" w:rsidTr="008645D3">
        <w:tc>
          <w:tcPr>
            <w:tcW w:w="5240" w:type="dxa"/>
            <w:vAlign w:val="center"/>
          </w:tcPr>
          <w:p w:rsidR="00C075D7" w:rsidRPr="008645D3" w:rsidRDefault="00C075D7" w:rsidP="008645D3">
            <w:pPr>
              <w:pStyle w:val="Listepuces"/>
              <w:ind w:left="215"/>
              <w:jc w:val="left"/>
            </w:pPr>
            <w:r w:rsidRPr="008645D3">
              <w:t>Microzooplankton grazing rates</w:t>
            </w:r>
          </w:p>
        </w:tc>
        <w:tc>
          <w:tcPr>
            <w:tcW w:w="3827" w:type="dxa"/>
            <w:vAlign w:val="center"/>
          </w:tcPr>
          <w:p w:rsidR="00C075D7" w:rsidRPr="008645D3" w:rsidRDefault="00C075D7" w:rsidP="008645D3">
            <w:pPr>
              <w:pStyle w:val="Listepuces"/>
              <w:numPr>
                <w:ilvl w:val="0"/>
                <w:numId w:val="0"/>
              </w:numPr>
              <w:jc w:val="left"/>
            </w:pPr>
            <w:r w:rsidRPr="008645D3">
              <w:t>g d</w:t>
            </w:r>
            <w:r w:rsidR="008645D3" w:rsidRPr="006D057F">
              <w:rPr>
                <w:vertAlign w:val="superscript"/>
                <w:lang w:val="en-US"/>
              </w:rPr>
              <w:t>–1</w:t>
            </w:r>
          </w:p>
        </w:tc>
      </w:tr>
      <w:tr w:rsidR="008645D3" w:rsidRPr="008645D3" w:rsidTr="008645D3">
        <w:tc>
          <w:tcPr>
            <w:tcW w:w="5240" w:type="dxa"/>
            <w:vAlign w:val="center"/>
          </w:tcPr>
          <w:p w:rsidR="00C075D7" w:rsidRPr="008645D3" w:rsidRDefault="00C075D7" w:rsidP="00CC2B2A">
            <w:pPr>
              <w:pStyle w:val="Listepuces"/>
              <w:spacing w:before="60"/>
              <w:ind w:left="215"/>
              <w:jc w:val="left"/>
            </w:pPr>
            <w:r w:rsidRPr="008645D3">
              <w:t>Microzooplankton grazing pressure</w:t>
            </w:r>
          </w:p>
        </w:tc>
        <w:tc>
          <w:tcPr>
            <w:tcW w:w="3827" w:type="dxa"/>
            <w:vAlign w:val="center"/>
          </w:tcPr>
          <w:p w:rsidR="00C075D7" w:rsidRPr="008645D3" w:rsidRDefault="00C075D7" w:rsidP="00CC2B2A">
            <w:pPr>
              <w:pStyle w:val="Listepuces"/>
              <w:numPr>
                <w:ilvl w:val="0"/>
                <w:numId w:val="0"/>
              </w:numPr>
              <w:spacing w:before="60"/>
              <w:jc w:val="left"/>
            </w:pPr>
            <w:r w:rsidRPr="008645D3">
              <w:t>% standing stocks consumed d</w:t>
            </w:r>
            <w:r w:rsidR="008645D3" w:rsidRPr="006D057F">
              <w:rPr>
                <w:vertAlign w:val="superscript"/>
                <w:lang w:val="en-US"/>
              </w:rPr>
              <w:t>–1</w:t>
            </w:r>
          </w:p>
        </w:tc>
      </w:tr>
      <w:tr w:rsidR="008645D3" w:rsidRPr="008645D3" w:rsidTr="008645D3">
        <w:tc>
          <w:tcPr>
            <w:tcW w:w="5240" w:type="dxa"/>
            <w:vAlign w:val="center"/>
          </w:tcPr>
          <w:p w:rsidR="00C075D7" w:rsidRPr="008645D3" w:rsidRDefault="00C075D7" w:rsidP="00CC2B2A">
            <w:pPr>
              <w:pStyle w:val="Listepuces"/>
              <w:spacing w:before="60"/>
              <w:ind w:left="215"/>
              <w:jc w:val="left"/>
            </w:pPr>
            <w:r w:rsidRPr="008645D3">
              <w:t>Mesozooplankton grazing rates</w:t>
            </w:r>
          </w:p>
        </w:tc>
        <w:tc>
          <w:tcPr>
            <w:tcW w:w="3827" w:type="dxa"/>
            <w:vAlign w:val="center"/>
          </w:tcPr>
          <w:p w:rsidR="00C075D7" w:rsidRPr="008645D3" w:rsidRDefault="00C075D7" w:rsidP="00CC2B2A">
            <w:pPr>
              <w:pStyle w:val="Listepuces"/>
              <w:numPr>
                <w:ilvl w:val="0"/>
                <w:numId w:val="0"/>
              </w:numPr>
              <w:spacing w:before="60"/>
              <w:jc w:val="left"/>
            </w:pPr>
            <w:r w:rsidRPr="008645D3">
              <w:t>g d–1</w:t>
            </w:r>
          </w:p>
        </w:tc>
      </w:tr>
      <w:tr w:rsidR="008645D3" w:rsidRPr="008645D3" w:rsidTr="008645D3">
        <w:tc>
          <w:tcPr>
            <w:tcW w:w="5240" w:type="dxa"/>
            <w:vAlign w:val="center"/>
          </w:tcPr>
          <w:p w:rsidR="00C075D7" w:rsidRPr="008645D3" w:rsidRDefault="00C075D7" w:rsidP="00CC2B2A">
            <w:pPr>
              <w:pStyle w:val="Listepuces"/>
              <w:spacing w:before="60"/>
              <w:ind w:left="215"/>
              <w:jc w:val="left"/>
            </w:pPr>
            <w:r w:rsidRPr="008645D3">
              <w:t>Mesozooplankton grazing pressure</w:t>
            </w:r>
          </w:p>
        </w:tc>
        <w:tc>
          <w:tcPr>
            <w:tcW w:w="3827" w:type="dxa"/>
            <w:vAlign w:val="center"/>
          </w:tcPr>
          <w:p w:rsidR="00C075D7" w:rsidRPr="008645D3" w:rsidRDefault="00C075D7" w:rsidP="00CC2B2A">
            <w:pPr>
              <w:pStyle w:val="Listepuces"/>
              <w:numPr>
                <w:ilvl w:val="0"/>
                <w:numId w:val="0"/>
              </w:numPr>
              <w:spacing w:before="60"/>
              <w:jc w:val="left"/>
            </w:pPr>
            <w:r w:rsidRPr="008645D3">
              <w:t>% standing stocks consumed d</w:t>
            </w:r>
            <w:r w:rsidR="008645D3" w:rsidRPr="006D057F">
              <w:rPr>
                <w:vertAlign w:val="superscript"/>
                <w:lang w:val="en-US"/>
              </w:rPr>
              <w:t>–1</w:t>
            </w:r>
          </w:p>
        </w:tc>
      </w:tr>
      <w:tr w:rsidR="008645D3" w:rsidRPr="008645D3" w:rsidTr="008645D3">
        <w:tc>
          <w:tcPr>
            <w:tcW w:w="5240" w:type="dxa"/>
            <w:vAlign w:val="center"/>
          </w:tcPr>
          <w:p w:rsidR="00C075D7" w:rsidRPr="00E7030C" w:rsidRDefault="00C075D7" w:rsidP="00CC2B2A">
            <w:pPr>
              <w:pStyle w:val="Listepuces"/>
              <w:spacing w:before="60"/>
              <w:ind w:left="215"/>
              <w:jc w:val="left"/>
              <w:rPr>
                <w:lang w:val="en-US"/>
              </w:rPr>
            </w:pPr>
            <w:r w:rsidRPr="00E7030C">
              <w:rPr>
                <w:lang w:val="en-US"/>
              </w:rPr>
              <w:t>Phytoplankton instantaneous growth rates (for &lt; 200 µm natural prey assemblages)</w:t>
            </w:r>
          </w:p>
        </w:tc>
        <w:tc>
          <w:tcPr>
            <w:tcW w:w="3827" w:type="dxa"/>
            <w:vAlign w:val="center"/>
          </w:tcPr>
          <w:p w:rsidR="00C075D7" w:rsidRPr="008645D3" w:rsidRDefault="00C075D7" w:rsidP="00CC2B2A">
            <w:pPr>
              <w:pStyle w:val="Listepuces"/>
              <w:numPr>
                <w:ilvl w:val="0"/>
                <w:numId w:val="0"/>
              </w:numPr>
              <w:spacing w:before="60"/>
              <w:jc w:val="left"/>
            </w:pPr>
            <w:r w:rsidRPr="008645D3">
              <w:t>d</w:t>
            </w:r>
            <w:r w:rsidR="008645D3" w:rsidRPr="006D057F">
              <w:rPr>
                <w:vertAlign w:val="superscript"/>
                <w:lang w:val="en-US"/>
              </w:rPr>
              <w:t>–1</w:t>
            </w:r>
          </w:p>
        </w:tc>
      </w:tr>
      <w:tr w:rsidR="008645D3" w:rsidRPr="008645D3" w:rsidTr="008645D3">
        <w:tc>
          <w:tcPr>
            <w:tcW w:w="5240" w:type="dxa"/>
            <w:vAlign w:val="center"/>
          </w:tcPr>
          <w:p w:rsidR="00C075D7" w:rsidRPr="00CC2B2A" w:rsidRDefault="008645D3" w:rsidP="00CC2B2A">
            <w:pPr>
              <w:pStyle w:val="Listepuces"/>
              <w:spacing w:before="60"/>
              <w:ind w:left="215"/>
              <w:jc w:val="left"/>
              <w:rPr>
                <w:lang w:val="en-US"/>
              </w:rPr>
            </w:pPr>
            <w:r w:rsidRPr="00CC2B2A">
              <w:rPr>
                <w:lang w:val="en-US"/>
              </w:rPr>
              <w:lastRenderedPageBreak/>
              <w:t>C</w:t>
            </w:r>
            <w:r w:rsidR="00C075D7" w:rsidRPr="00CC2B2A">
              <w:rPr>
                <w:lang w:val="en-US"/>
              </w:rPr>
              <w:t>learance rates of dominant copepods</w:t>
            </w:r>
            <w:r w:rsidR="00CC2B2A">
              <w:rPr>
                <w:rStyle w:val="Appelnotedebasdep"/>
              </w:rPr>
              <w:footnoteReference w:id="1"/>
            </w:r>
          </w:p>
        </w:tc>
        <w:tc>
          <w:tcPr>
            <w:tcW w:w="3827" w:type="dxa"/>
            <w:vAlign w:val="center"/>
          </w:tcPr>
          <w:p w:rsidR="00C075D7" w:rsidRPr="008645D3" w:rsidRDefault="00C075D7" w:rsidP="00CC2B2A">
            <w:pPr>
              <w:pStyle w:val="Listepuces"/>
              <w:numPr>
                <w:ilvl w:val="0"/>
                <w:numId w:val="0"/>
              </w:numPr>
              <w:spacing w:before="60"/>
              <w:jc w:val="left"/>
            </w:pPr>
            <w:r w:rsidRPr="008645D3">
              <w:t xml:space="preserve">mL </w:t>
            </w:r>
            <w:r w:rsidR="008645D3" w:rsidRPr="008645D3">
              <w:t>ind</w:t>
            </w:r>
            <w:r w:rsidR="008645D3" w:rsidRPr="006D057F">
              <w:rPr>
                <w:vertAlign w:val="superscript"/>
                <w:lang w:val="en-US"/>
              </w:rPr>
              <w:t>–1</w:t>
            </w:r>
            <w:r w:rsidR="008645D3">
              <w:t xml:space="preserve"> </w:t>
            </w:r>
            <w:r w:rsidR="008645D3" w:rsidRPr="008645D3">
              <w:t>d</w:t>
            </w:r>
            <w:r w:rsidR="008645D3" w:rsidRPr="006D057F">
              <w:rPr>
                <w:vertAlign w:val="superscript"/>
                <w:lang w:val="en-US"/>
              </w:rPr>
              <w:t>–1</w:t>
            </w:r>
          </w:p>
        </w:tc>
      </w:tr>
      <w:tr w:rsidR="008645D3" w:rsidRPr="008645D3" w:rsidTr="008645D3">
        <w:tc>
          <w:tcPr>
            <w:tcW w:w="5240" w:type="dxa"/>
            <w:vAlign w:val="center"/>
          </w:tcPr>
          <w:p w:rsidR="00C075D7" w:rsidRPr="00CC2B2A" w:rsidRDefault="00C075D7" w:rsidP="00CC2B2A">
            <w:pPr>
              <w:pStyle w:val="Listepuces"/>
              <w:spacing w:before="60"/>
              <w:ind w:left="215"/>
              <w:jc w:val="left"/>
              <w:rPr>
                <w:lang w:val="en-US"/>
              </w:rPr>
            </w:pPr>
            <w:r w:rsidRPr="00CC2B2A">
              <w:rPr>
                <w:lang w:val="en-US"/>
              </w:rPr>
              <w:t>Ingestion rates of dominant copepods</w:t>
            </w:r>
          </w:p>
        </w:tc>
        <w:tc>
          <w:tcPr>
            <w:tcW w:w="3827" w:type="dxa"/>
            <w:vAlign w:val="center"/>
          </w:tcPr>
          <w:p w:rsidR="00C075D7" w:rsidRPr="008645D3" w:rsidRDefault="008645D3" w:rsidP="00CC2B2A">
            <w:pPr>
              <w:pStyle w:val="Listepuces"/>
              <w:numPr>
                <w:ilvl w:val="0"/>
                <w:numId w:val="0"/>
              </w:numPr>
              <w:spacing w:before="60"/>
              <w:jc w:val="left"/>
            </w:pPr>
            <w:r w:rsidRPr="008645D3">
              <w:t>µg C ind</w:t>
            </w:r>
            <w:r w:rsidRPr="006D057F">
              <w:rPr>
                <w:vertAlign w:val="superscript"/>
                <w:lang w:val="en-US"/>
              </w:rPr>
              <w:t>–1</w:t>
            </w:r>
            <w:r>
              <w:t xml:space="preserve"> </w:t>
            </w:r>
            <w:r w:rsidRPr="008645D3">
              <w:t>d</w:t>
            </w:r>
            <w:r w:rsidRPr="006D057F">
              <w:rPr>
                <w:vertAlign w:val="superscript"/>
                <w:lang w:val="en-US"/>
              </w:rPr>
              <w:t>–1</w:t>
            </w:r>
          </w:p>
        </w:tc>
      </w:tr>
      <w:tr w:rsidR="008645D3" w:rsidRPr="008645D3" w:rsidTr="008645D3">
        <w:tc>
          <w:tcPr>
            <w:tcW w:w="5240" w:type="dxa"/>
            <w:vAlign w:val="center"/>
          </w:tcPr>
          <w:p w:rsidR="008645D3" w:rsidRPr="00E7030C" w:rsidRDefault="008645D3" w:rsidP="00CC2B2A">
            <w:pPr>
              <w:pStyle w:val="Listepuces"/>
              <w:spacing w:before="60"/>
              <w:ind w:left="215"/>
              <w:jc w:val="left"/>
              <w:rPr>
                <w:lang w:val="en-US"/>
              </w:rPr>
            </w:pPr>
            <w:r w:rsidRPr="00E7030C">
              <w:rPr>
                <w:lang w:val="en-US"/>
              </w:rPr>
              <w:t>Gut clearance rate constants of dominant copepods</w:t>
            </w:r>
          </w:p>
        </w:tc>
        <w:tc>
          <w:tcPr>
            <w:tcW w:w="3827" w:type="dxa"/>
            <w:vAlign w:val="center"/>
          </w:tcPr>
          <w:p w:rsidR="008645D3" w:rsidRPr="008645D3" w:rsidRDefault="008645D3" w:rsidP="00CC2B2A">
            <w:pPr>
              <w:pStyle w:val="Listepuces"/>
              <w:numPr>
                <w:ilvl w:val="0"/>
                <w:numId w:val="0"/>
              </w:numPr>
              <w:spacing w:before="60"/>
              <w:jc w:val="left"/>
            </w:pPr>
            <w:r w:rsidRPr="008645D3">
              <w:t>h</w:t>
            </w:r>
            <w:r w:rsidRPr="006D057F">
              <w:rPr>
                <w:vertAlign w:val="superscript"/>
                <w:lang w:val="en-US"/>
              </w:rPr>
              <w:t>–1</w:t>
            </w:r>
          </w:p>
          <w:p w:rsidR="008645D3" w:rsidRPr="008645D3" w:rsidRDefault="008645D3" w:rsidP="00CC2B2A">
            <w:pPr>
              <w:pStyle w:val="Listepuces"/>
              <w:numPr>
                <w:ilvl w:val="0"/>
                <w:numId w:val="0"/>
              </w:numPr>
              <w:spacing w:before="60"/>
              <w:jc w:val="left"/>
            </w:pPr>
          </w:p>
        </w:tc>
      </w:tr>
      <w:tr w:rsidR="008645D3" w:rsidRPr="008645D3" w:rsidTr="008645D3">
        <w:tc>
          <w:tcPr>
            <w:tcW w:w="5240" w:type="dxa"/>
            <w:vAlign w:val="center"/>
          </w:tcPr>
          <w:p w:rsidR="00C075D7" w:rsidRPr="00E7030C" w:rsidRDefault="008645D3" w:rsidP="00CC2B2A">
            <w:pPr>
              <w:pStyle w:val="Listepuces"/>
              <w:spacing w:before="60"/>
              <w:ind w:left="215"/>
              <w:jc w:val="left"/>
              <w:rPr>
                <w:lang w:val="en-US"/>
              </w:rPr>
            </w:pPr>
            <w:r w:rsidRPr="00E7030C">
              <w:rPr>
                <w:lang w:val="en-US"/>
              </w:rPr>
              <w:t>Gut c</w:t>
            </w:r>
            <w:r w:rsidR="00C075D7" w:rsidRPr="00E7030C">
              <w:rPr>
                <w:lang w:val="en-US"/>
              </w:rPr>
              <w:t>learance rate</w:t>
            </w:r>
            <w:r w:rsidRPr="00E7030C">
              <w:rPr>
                <w:lang w:val="en-US"/>
              </w:rPr>
              <w:t xml:space="preserve"> constant</w:t>
            </w:r>
            <w:r w:rsidR="00C075D7" w:rsidRPr="00E7030C">
              <w:rPr>
                <w:lang w:val="en-US"/>
              </w:rPr>
              <w:t xml:space="preserve">s of </w:t>
            </w:r>
            <w:r w:rsidRPr="00E7030C">
              <w:rPr>
                <w:lang w:val="en-US"/>
              </w:rPr>
              <w:t>size fractions</w:t>
            </w:r>
          </w:p>
        </w:tc>
        <w:tc>
          <w:tcPr>
            <w:tcW w:w="3827" w:type="dxa"/>
            <w:vAlign w:val="center"/>
          </w:tcPr>
          <w:p w:rsidR="008645D3" w:rsidRPr="008645D3" w:rsidRDefault="008645D3" w:rsidP="00CC2B2A">
            <w:pPr>
              <w:pStyle w:val="Listepuces"/>
              <w:numPr>
                <w:ilvl w:val="0"/>
                <w:numId w:val="0"/>
              </w:numPr>
              <w:spacing w:before="60"/>
              <w:jc w:val="left"/>
            </w:pPr>
            <w:r w:rsidRPr="008645D3">
              <w:t>h</w:t>
            </w:r>
            <w:r w:rsidRPr="006D057F">
              <w:rPr>
                <w:vertAlign w:val="superscript"/>
                <w:lang w:val="en-US"/>
              </w:rPr>
              <w:t>–1</w:t>
            </w:r>
          </w:p>
        </w:tc>
      </w:tr>
      <w:tr w:rsidR="008645D3" w:rsidRPr="008645D3" w:rsidTr="008645D3">
        <w:tc>
          <w:tcPr>
            <w:tcW w:w="5240" w:type="dxa"/>
            <w:vAlign w:val="center"/>
          </w:tcPr>
          <w:p w:rsidR="00C075D7" w:rsidRPr="008645D3" w:rsidRDefault="008645D3" w:rsidP="00CC2B2A">
            <w:pPr>
              <w:pStyle w:val="Listepuces"/>
              <w:spacing w:before="60"/>
              <w:ind w:left="215"/>
              <w:jc w:val="left"/>
            </w:pPr>
            <w:r w:rsidRPr="008645D3">
              <w:t>Fecal pellet production of dominant copepods</w:t>
            </w:r>
          </w:p>
        </w:tc>
        <w:tc>
          <w:tcPr>
            <w:tcW w:w="3827" w:type="dxa"/>
            <w:vAlign w:val="center"/>
          </w:tcPr>
          <w:p w:rsidR="00C075D7" w:rsidRPr="008645D3" w:rsidRDefault="008645D3" w:rsidP="00CC2B2A">
            <w:pPr>
              <w:pStyle w:val="Listepuces"/>
              <w:numPr>
                <w:ilvl w:val="0"/>
                <w:numId w:val="0"/>
              </w:numPr>
              <w:spacing w:before="60"/>
              <w:jc w:val="left"/>
            </w:pPr>
            <w:r w:rsidRPr="008645D3">
              <w:t>FP ind</w:t>
            </w:r>
            <w:r w:rsidRPr="006D057F">
              <w:rPr>
                <w:vertAlign w:val="superscript"/>
                <w:lang w:val="en-US"/>
              </w:rPr>
              <w:t>–1</w:t>
            </w:r>
            <w:r w:rsidRPr="008645D3">
              <w:t xml:space="preserve"> d</w:t>
            </w:r>
            <w:r w:rsidRPr="006D057F">
              <w:rPr>
                <w:vertAlign w:val="superscript"/>
                <w:lang w:val="en-US"/>
              </w:rPr>
              <w:t>–1</w:t>
            </w:r>
          </w:p>
        </w:tc>
      </w:tr>
      <w:tr w:rsidR="008645D3" w:rsidRPr="008645D3" w:rsidTr="008645D3">
        <w:tc>
          <w:tcPr>
            <w:tcW w:w="5240" w:type="dxa"/>
            <w:vAlign w:val="center"/>
          </w:tcPr>
          <w:p w:rsidR="00C075D7" w:rsidRPr="00E7030C" w:rsidRDefault="008645D3" w:rsidP="00CC2B2A">
            <w:pPr>
              <w:pStyle w:val="Listepuces"/>
              <w:spacing w:before="60"/>
              <w:ind w:left="215"/>
              <w:jc w:val="left"/>
              <w:rPr>
                <w:lang w:val="en-US"/>
              </w:rPr>
            </w:pPr>
            <w:r w:rsidRPr="00E7030C">
              <w:rPr>
                <w:lang w:val="en-US"/>
              </w:rPr>
              <w:t>Fecal pellet biometry and biovolumes</w:t>
            </w:r>
          </w:p>
        </w:tc>
        <w:tc>
          <w:tcPr>
            <w:tcW w:w="3827" w:type="dxa"/>
            <w:vAlign w:val="center"/>
          </w:tcPr>
          <w:p w:rsidR="00C075D7" w:rsidRPr="008645D3" w:rsidRDefault="008645D3" w:rsidP="00CC2B2A">
            <w:pPr>
              <w:pStyle w:val="Listepuces"/>
              <w:numPr>
                <w:ilvl w:val="0"/>
                <w:numId w:val="0"/>
              </w:numPr>
              <w:spacing w:before="60"/>
              <w:jc w:val="left"/>
            </w:pPr>
            <w:r w:rsidRPr="008645D3">
              <w:t>µm</w:t>
            </w:r>
            <w:r w:rsidRPr="008645D3">
              <w:rPr>
                <w:vertAlign w:val="superscript"/>
              </w:rPr>
              <w:t>3</w:t>
            </w:r>
          </w:p>
        </w:tc>
      </w:tr>
    </w:tbl>
    <w:p w:rsidR="00AE2BD6" w:rsidRPr="00D0498F" w:rsidRDefault="00AE2BD6" w:rsidP="00D0498F">
      <w:pPr>
        <w:pStyle w:val="Titre2"/>
      </w:pPr>
      <w:r w:rsidRPr="00D0498F">
        <w:t>Sensor precision</w:t>
      </w:r>
    </w:p>
    <w:p w:rsidR="00D0498F" w:rsidRPr="00D0498F" w:rsidRDefault="00D0498F" w:rsidP="00D0498F">
      <w:pPr>
        <w:pStyle w:val="Paragraphestandard"/>
      </w:pPr>
      <w:r>
        <w:t>N/A</w:t>
      </w:r>
    </w:p>
    <w:p w:rsidR="00AE2BD6" w:rsidRDefault="00AE2BD6" w:rsidP="00D0498F">
      <w:pPr>
        <w:pStyle w:val="Titre2"/>
      </w:pPr>
      <w:r w:rsidRPr="00AE2BD6">
        <w:t>Post-cruise data analysis/treatment required</w:t>
      </w:r>
    </w:p>
    <w:p w:rsidR="00D0498F" w:rsidRPr="00D0498F" w:rsidRDefault="00D0498F" w:rsidP="00D0498F">
      <w:pPr>
        <w:pStyle w:val="Paragraphestandard"/>
      </w:pPr>
      <w:r>
        <w:t>N/A</w:t>
      </w:r>
    </w:p>
    <w:p w:rsidR="00AE2BD6" w:rsidRDefault="00AE2BD6" w:rsidP="00D0498F">
      <w:pPr>
        <w:pStyle w:val="Titre2"/>
      </w:pPr>
      <w:r w:rsidRPr="00AE2BD6">
        <w:t>Estimated Date of Delivery</w:t>
      </w:r>
    </w:p>
    <w:p w:rsidR="007A4584" w:rsidRPr="00D7124D" w:rsidRDefault="001B6671" w:rsidP="007A4584">
      <w:pPr>
        <w:pStyle w:val="Paragraphestandard"/>
        <w:rPr>
          <w:rFonts w:cs="Arial"/>
          <w:snapToGrid w:val="0"/>
        </w:rPr>
      </w:pPr>
      <w:r w:rsidRPr="00D7124D">
        <w:rPr>
          <w:rFonts w:cs="Arial"/>
          <w:snapToGrid w:val="0"/>
        </w:rPr>
        <w:t xml:space="preserve">Microzooplankton grazing: </w:t>
      </w:r>
      <w:r w:rsidR="00DB2332" w:rsidRPr="00D7124D">
        <w:rPr>
          <w:rFonts w:cs="Arial"/>
          <w:snapToGrid w:val="0"/>
        </w:rPr>
        <w:t>February</w:t>
      </w:r>
      <w:r w:rsidR="00662969" w:rsidRPr="00D7124D">
        <w:rPr>
          <w:rFonts w:cs="Arial"/>
          <w:snapToGrid w:val="0"/>
        </w:rPr>
        <w:t xml:space="preserve"> 2019</w:t>
      </w:r>
    </w:p>
    <w:p w:rsidR="001B6671" w:rsidRPr="00D7124D" w:rsidRDefault="001B6671" w:rsidP="007A4584">
      <w:pPr>
        <w:pStyle w:val="Paragraphestandard"/>
        <w:rPr>
          <w:rFonts w:eastAsia="Arial" w:cs="Arial"/>
          <w:i/>
          <w:iCs/>
          <w:lang w:eastAsia="es-ES_tradnl"/>
        </w:rPr>
      </w:pPr>
      <w:r w:rsidRPr="00D7124D">
        <w:rPr>
          <w:rFonts w:cs="Arial"/>
          <w:snapToGrid w:val="0"/>
        </w:rPr>
        <w:t>Mesozooplankton grazing</w:t>
      </w:r>
      <w:r w:rsidR="002105DB" w:rsidRPr="00D7124D">
        <w:rPr>
          <w:rFonts w:cs="Arial"/>
          <w:snapToGrid w:val="0"/>
        </w:rPr>
        <w:t>/clearance rates/Fecal pelets</w:t>
      </w:r>
      <w:r w:rsidRPr="00D7124D">
        <w:rPr>
          <w:rFonts w:cs="Arial"/>
          <w:snapToGrid w:val="0"/>
        </w:rPr>
        <w:t>: July 2019</w:t>
      </w:r>
    </w:p>
    <w:p w:rsidR="00AE2BD6" w:rsidRPr="00E7030C" w:rsidRDefault="00D0498F" w:rsidP="00D0498F">
      <w:pPr>
        <w:pStyle w:val="Titre1"/>
        <w:rPr>
          <w:lang w:val="en-US"/>
        </w:rPr>
      </w:pPr>
      <w:r w:rsidRPr="00E7030C">
        <w:rPr>
          <w:lang w:val="en-US"/>
        </w:rPr>
        <w:t>BIBLIOGRAPHY</w:t>
      </w:r>
    </w:p>
    <w:p w:rsidR="00A44232" w:rsidRPr="00F84ADF" w:rsidRDefault="00A44232" w:rsidP="00F84ADF">
      <w:pPr>
        <w:pStyle w:val="Bibliographie"/>
      </w:pPr>
      <w:r w:rsidRPr="00B36AD0">
        <w:t>Bautista B</w:t>
      </w:r>
      <w:r w:rsidR="00B36AD0">
        <w:t>.</w:t>
      </w:r>
      <w:r w:rsidRPr="00B36AD0">
        <w:t>, Harris R</w:t>
      </w:r>
      <w:r w:rsidR="00B36AD0">
        <w:t>.</w:t>
      </w:r>
      <w:r w:rsidRPr="00B36AD0">
        <w:t>P</w:t>
      </w:r>
      <w:r w:rsidR="00B36AD0">
        <w:t xml:space="preserve">., </w:t>
      </w:r>
      <w:r w:rsidRPr="00B36AD0">
        <w:t xml:space="preserve">1992. </w:t>
      </w:r>
      <w:r w:rsidRPr="00F84ADF">
        <w:t>Copepod gut contents, ingestion rates and grazing impact on phytoplankton in relation to size</w:t>
      </w:r>
      <w:r w:rsidR="00B36AD0" w:rsidRPr="00F84ADF">
        <w:t xml:space="preserve"> </w:t>
      </w:r>
      <w:r w:rsidRPr="00F84ADF">
        <w:t xml:space="preserve">structure of zooplankton and phytoplankton during a spring bloom. </w:t>
      </w:r>
      <w:r w:rsidRPr="00F84ADF">
        <w:rPr>
          <w:i/>
        </w:rPr>
        <w:t>Mar</w:t>
      </w:r>
      <w:r w:rsidR="00B36AD0" w:rsidRPr="00F84ADF">
        <w:rPr>
          <w:i/>
        </w:rPr>
        <w:t>ine</w:t>
      </w:r>
      <w:r w:rsidRPr="00F84ADF">
        <w:rPr>
          <w:i/>
        </w:rPr>
        <w:t xml:space="preserve"> Ecol</w:t>
      </w:r>
      <w:r w:rsidR="00B36AD0" w:rsidRPr="00F84ADF">
        <w:rPr>
          <w:i/>
        </w:rPr>
        <w:t>ogy</w:t>
      </w:r>
      <w:r w:rsidRPr="00F84ADF">
        <w:rPr>
          <w:i/>
        </w:rPr>
        <w:t xml:space="preserve"> Prog</w:t>
      </w:r>
      <w:r w:rsidR="00B36AD0" w:rsidRPr="00F84ADF">
        <w:rPr>
          <w:i/>
        </w:rPr>
        <w:t>ress</w:t>
      </w:r>
      <w:r w:rsidRPr="00F84ADF">
        <w:rPr>
          <w:i/>
        </w:rPr>
        <w:t xml:space="preserve"> Ser</w:t>
      </w:r>
      <w:r w:rsidR="00B36AD0" w:rsidRPr="00F84ADF">
        <w:rPr>
          <w:i/>
        </w:rPr>
        <w:t>ies</w:t>
      </w:r>
      <w:r w:rsidRPr="00F84ADF">
        <w:t xml:space="preserve">, </w:t>
      </w:r>
      <w:r w:rsidRPr="00F84ADF">
        <w:rPr>
          <w:b/>
        </w:rPr>
        <w:t>82</w:t>
      </w:r>
      <w:r w:rsidR="00B36AD0" w:rsidRPr="00F84ADF">
        <w:t xml:space="preserve">, </w:t>
      </w:r>
      <w:r w:rsidRPr="00F84ADF">
        <w:t>41</w:t>
      </w:r>
      <w:r w:rsidR="00B36AD0" w:rsidRPr="00F84ADF">
        <w:t>–</w:t>
      </w:r>
      <w:r w:rsidRPr="00F84ADF">
        <w:t>50</w:t>
      </w:r>
      <w:r w:rsidR="00B36AD0" w:rsidRPr="00F84ADF">
        <w:t>.</w:t>
      </w:r>
    </w:p>
    <w:p w:rsidR="00A44232" w:rsidRPr="00F84ADF" w:rsidRDefault="00A44232" w:rsidP="00F84ADF">
      <w:pPr>
        <w:pStyle w:val="Bibliographie"/>
      </w:pPr>
      <w:r w:rsidRPr="00F84ADF">
        <w:t>Frost B</w:t>
      </w:r>
      <w:r w:rsidR="00B36AD0" w:rsidRPr="00F84ADF">
        <w:t>.</w:t>
      </w:r>
      <w:r w:rsidRPr="00F84ADF">
        <w:t>W</w:t>
      </w:r>
      <w:r w:rsidR="00B36AD0" w:rsidRPr="00F84ADF">
        <w:t xml:space="preserve">., </w:t>
      </w:r>
      <w:r w:rsidRPr="00F84ADF">
        <w:t xml:space="preserve">1972. Effects of size and concentration of food particles on the feeding behavior of the marine planktonic copepod Calanus Pacificus. </w:t>
      </w:r>
      <w:r w:rsidRPr="00F84ADF">
        <w:rPr>
          <w:i/>
        </w:rPr>
        <w:t>Limnol</w:t>
      </w:r>
      <w:r w:rsidR="00B36AD0" w:rsidRPr="00F84ADF">
        <w:rPr>
          <w:i/>
        </w:rPr>
        <w:t>ogy &amp;</w:t>
      </w:r>
      <w:r w:rsidRPr="00F84ADF">
        <w:rPr>
          <w:i/>
        </w:rPr>
        <w:t xml:space="preserve"> Oceanogr</w:t>
      </w:r>
      <w:r w:rsidR="00B36AD0" w:rsidRPr="00F84ADF">
        <w:rPr>
          <w:i/>
        </w:rPr>
        <w:t>aphy</w:t>
      </w:r>
      <w:r w:rsidRPr="00F84ADF">
        <w:t xml:space="preserve">, </w:t>
      </w:r>
      <w:r w:rsidRPr="00F84ADF">
        <w:rPr>
          <w:b/>
        </w:rPr>
        <w:t>17</w:t>
      </w:r>
      <w:r w:rsidRPr="00F84ADF">
        <w:t>(6)</w:t>
      </w:r>
      <w:r w:rsidR="00B36AD0" w:rsidRPr="00F84ADF">
        <w:t>,</w:t>
      </w:r>
      <w:r w:rsidRPr="00F84ADF">
        <w:t xml:space="preserve"> 805</w:t>
      </w:r>
      <w:r w:rsidR="00B36AD0" w:rsidRPr="00F84ADF">
        <w:t>–</w:t>
      </w:r>
      <w:r w:rsidRPr="00F84ADF">
        <w:t>815</w:t>
      </w:r>
      <w:r w:rsidR="00B36AD0" w:rsidRPr="00F84ADF">
        <w:t>.</w:t>
      </w:r>
    </w:p>
    <w:p w:rsidR="00A44232" w:rsidRPr="00F84ADF" w:rsidRDefault="00A44232" w:rsidP="00F84ADF">
      <w:pPr>
        <w:pStyle w:val="Bibliographie"/>
      </w:pPr>
      <w:r w:rsidRPr="00F84ADF">
        <w:t>Grattepanche J</w:t>
      </w:r>
      <w:r w:rsidR="00B36AD0" w:rsidRPr="00F84ADF">
        <w:t>.</w:t>
      </w:r>
      <w:r w:rsidRPr="00F84ADF">
        <w:t>D</w:t>
      </w:r>
      <w:r w:rsidR="00B36AD0" w:rsidRPr="00F84ADF">
        <w:t>.</w:t>
      </w:r>
      <w:r w:rsidRPr="00F84ADF">
        <w:t>, Vincent D</w:t>
      </w:r>
      <w:r w:rsidR="00B36AD0" w:rsidRPr="00F84ADF">
        <w:t>.</w:t>
      </w:r>
      <w:r w:rsidRPr="00F84ADF">
        <w:t>, Breton E</w:t>
      </w:r>
      <w:r w:rsidR="00B36AD0" w:rsidRPr="00F84ADF">
        <w:t>.</w:t>
      </w:r>
      <w:r w:rsidRPr="00F84ADF">
        <w:t>,  Christaki U</w:t>
      </w:r>
      <w:r w:rsidR="00B36AD0" w:rsidRPr="00F84ADF">
        <w:t xml:space="preserve">., </w:t>
      </w:r>
      <w:r w:rsidRPr="00F84ADF">
        <w:t xml:space="preserve">2011. Microzooplankton herbivory during the diatom–Phaeocystis spring succession in the eastern English Channel. </w:t>
      </w:r>
      <w:r w:rsidRPr="00F84ADF">
        <w:rPr>
          <w:i/>
        </w:rPr>
        <w:t>J</w:t>
      </w:r>
      <w:r w:rsidR="00B36AD0" w:rsidRPr="00F84ADF">
        <w:rPr>
          <w:i/>
        </w:rPr>
        <w:t>ournal of</w:t>
      </w:r>
      <w:r w:rsidRPr="00F84ADF">
        <w:rPr>
          <w:i/>
        </w:rPr>
        <w:t xml:space="preserve"> Exp</w:t>
      </w:r>
      <w:r w:rsidR="00B36AD0" w:rsidRPr="00F84ADF">
        <w:rPr>
          <w:i/>
        </w:rPr>
        <w:t>erimental</w:t>
      </w:r>
      <w:r w:rsidRPr="00F84ADF">
        <w:rPr>
          <w:i/>
        </w:rPr>
        <w:t xml:space="preserve"> Mar</w:t>
      </w:r>
      <w:r w:rsidR="00B36AD0" w:rsidRPr="00F84ADF">
        <w:rPr>
          <w:i/>
        </w:rPr>
        <w:t xml:space="preserve">ine </w:t>
      </w:r>
      <w:r w:rsidRPr="00F84ADF">
        <w:rPr>
          <w:i/>
        </w:rPr>
        <w:t>Biol</w:t>
      </w:r>
      <w:r w:rsidR="00B36AD0" w:rsidRPr="00F84ADF">
        <w:rPr>
          <w:i/>
        </w:rPr>
        <w:t>ogy &amp;</w:t>
      </w:r>
      <w:r w:rsidRPr="00F84ADF">
        <w:rPr>
          <w:i/>
        </w:rPr>
        <w:t xml:space="preserve"> Ecol</w:t>
      </w:r>
      <w:r w:rsidR="00B36AD0" w:rsidRPr="00F84ADF">
        <w:rPr>
          <w:i/>
        </w:rPr>
        <w:t>ogy</w:t>
      </w:r>
      <w:r w:rsidRPr="00F84ADF">
        <w:t xml:space="preserve">, </w:t>
      </w:r>
      <w:r w:rsidRPr="00F84ADF">
        <w:rPr>
          <w:b/>
        </w:rPr>
        <w:t>404</w:t>
      </w:r>
      <w:r w:rsidR="00B36AD0" w:rsidRPr="00F84ADF">
        <w:t>,</w:t>
      </w:r>
      <w:r w:rsidRPr="00F84ADF">
        <w:t xml:space="preserve"> 87</w:t>
      </w:r>
      <w:r w:rsidR="00B36AD0" w:rsidRPr="00F84ADF">
        <w:t>–</w:t>
      </w:r>
      <w:r w:rsidRPr="00F84ADF">
        <w:t xml:space="preserve">97. </w:t>
      </w:r>
    </w:p>
    <w:p w:rsidR="00A44232" w:rsidRPr="00F84ADF" w:rsidRDefault="00A44232" w:rsidP="00F84ADF">
      <w:pPr>
        <w:pStyle w:val="Bibliographie"/>
      </w:pPr>
      <w:r w:rsidRPr="00F84ADF">
        <w:t>Ivlev V.S., 1961. Experimental Ecology of the Feeding of Fishes. Yale University Press, New Haven, Connecticut, 302 pp</w:t>
      </w:r>
      <w:r w:rsidR="00D31945" w:rsidRPr="00F84ADF">
        <w:t>.</w:t>
      </w:r>
    </w:p>
    <w:p w:rsidR="00A44232" w:rsidRPr="00F84ADF" w:rsidRDefault="00A44232" w:rsidP="00F84ADF">
      <w:pPr>
        <w:pStyle w:val="Bibliographie"/>
      </w:pPr>
      <w:r w:rsidRPr="00F84ADF">
        <w:t>Landry M</w:t>
      </w:r>
      <w:r w:rsidR="00D31945" w:rsidRPr="00F84ADF">
        <w:t>.</w:t>
      </w:r>
      <w:r w:rsidRPr="00F84ADF">
        <w:t>R</w:t>
      </w:r>
      <w:r w:rsidR="00D31945" w:rsidRPr="00F84ADF">
        <w:t>.</w:t>
      </w:r>
      <w:r w:rsidRPr="00F84ADF">
        <w:t>, Hassett R</w:t>
      </w:r>
      <w:r w:rsidR="00D31945" w:rsidRPr="00F84ADF">
        <w:t>.</w:t>
      </w:r>
      <w:r w:rsidRPr="00F84ADF">
        <w:t>P</w:t>
      </w:r>
      <w:r w:rsidR="00D31945" w:rsidRPr="00F84ADF">
        <w:t>., 1</w:t>
      </w:r>
      <w:r w:rsidRPr="00F84ADF">
        <w:t>982</w:t>
      </w:r>
      <w:r w:rsidR="00D31945" w:rsidRPr="00F84ADF">
        <w:t>.</w:t>
      </w:r>
      <w:r w:rsidRPr="00F84ADF">
        <w:t xml:space="preserve"> Estimating the grazing impact of marine microzooplankton. </w:t>
      </w:r>
      <w:r w:rsidRPr="00F84ADF">
        <w:rPr>
          <w:i/>
        </w:rPr>
        <w:t>Mar</w:t>
      </w:r>
      <w:r w:rsidR="00D31945" w:rsidRPr="00F84ADF">
        <w:rPr>
          <w:i/>
        </w:rPr>
        <w:t>ine</w:t>
      </w:r>
      <w:r w:rsidRPr="00F84ADF">
        <w:rPr>
          <w:i/>
        </w:rPr>
        <w:t xml:space="preserve"> Biol</w:t>
      </w:r>
      <w:r w:rsidR="00D31945" w:rsidRPr="00F84ADF">
        <w:rPr>
          <w:i/>
        </w:rPr>
        <w:t>ogy</w:t>
      </w:r>
      <w:r w:rsidRPr="00F84ADF">
        <w:t xml:space="preserve">, </w:t>
      </w:r>
      <w:r w:rsidRPr="00F84ADF">
        <w:rPr>
          <w:b/>
        </w:rPr>
        <w:t>67</w:t>
      </w:r>
      <w:r w:rsidR="00D31945" w:rsidRPr="00F84ADF">
        <w:t>,</w:t>
      </w:r>
      <w:r w:rsidRPr="00F84ADF">
        <w:t xml:space="preserve"> 283</w:t>
      </w:r>
      <w:r w:rsidR="00D31945" w:rsidRPr="00F84ADF">
        <w:t>–</w:t>
      </w:r>
      <w:r w:rsidRPr="00F84ADF">
        <w:t>288.</w:t>
      </w:r>
    </w:p>
    <w:bookmarkStart w:id="1" w:name="baep-author-id5"/>
    <w:p w:rsidR="00A44232" w:rsidRPr="00F84ADF" w:rsidRDefault="000B292A" w:rsidP="00F84ADF">
      <w:pPr>
        <w:pStyle w:val="Bibliographie"/>
      </w:pPr>
      <w:r w:rsidRPr="00F84ADF">
        <w:fldChar w:fldCharType="begin"/>
      </w:r>
      <w:r w:rsidR="00A44232" w:rsidRPr="00D7124D">
        <w:instrText xml:space="preserve"> HYPERLINK "https://www.sciencedirect.com/science/article/pii/S0967063702000122" \l "!" </w:instrText>
      </w:r>
      <w:r w:rsidRPr="00F84ADF">
        <w:fldChar w:fldCharType="separate"/>
      </w:r>
      <w:r w:rsidR="00A44232" w:rsidRPr="00D7124D">
        <w:rPr>
          <w:rStyle w:val="text"/>
        </w:rPr>
        <w:t>Mayzaud</w:t>
      </w:r>
      <w:r w:rsidRPr="00F84ADF">
        <w:fldChar w:fldCharType="end"/>
      </w:r>
      <w:bookmarkStart w:id="2" w:name="baep-author-id6"/>
      <w:bookmarkEnd w:id="1"/>
      <w:r w:rsidR="00A44232" w:rsidRPr="00D7124D">
        <w:t xml:space="preserve"> P</w:t>
      </w:r>
      <w:r w:rsidR="00F84ADF" w:rsidRPr="00D7124D">
        <w:t>.</w:t>
      </w:r>
      <w:r w:rsidR="00A44232" w:rsidRPr="00D7124D">
        <w:t xml:space="preserve">, </w:t>
      </w:r>
      <w:hyperlink r:id="rId12" w:anchor="!" w:history="1">
        <w:r w:rsidR="00A44232" w:rsidRPr="00D7124D">
          <w:rPr>
            <w:rStyle w:val="text"/>
          </w:rPr>
          <w:t>Razouls</w:t>
        </w:r>
      </w:hyperlink>
      <w:bookmarkStart w:id="3" w:name="baep-author-id7"/>
      <w:bookmarkEnd w:id="2"/>
      <w:r w:rsidR="00A44232" w:rsidRPr="00D7124D">
        <w:t xml:space="preserve"> S</w:t>
      </w:r>
      <w:r w:rsidR="00F84ADF" w:rsidRPr="00D7124D">
        <w:t>.</w:t>
      </w:r>
      <w:r w:rsidR="00A44232" w:rsidRPr="00D7124D">
        <w:t>, Errhif A</w:t>
      </w:r>
      <w:r w:rsidR="00F84ADF" w:rsidRPr="00D7124D">
        <w:t>.</w:t>
      </w:r>
      <w:r w:rsidR="00A44232" w:rsidRPr="00D7124D">
        <w:t>, Tirelli V</w:t>
      </w:r>
      <w:r w:rsidR="00F84ADF" w:rsidRPr="00D7124D">
        <w:t>.</w:t>
      </w:r>
      <w:r w:rsidR="00A44232" w:rsidRPr="00D7124D">
        <w:t>, Labat J</w:t>
      </w:r>
      <w:r w:rsidR="00F84ADF" w:rsidRPr="00D7124D">
        <w:t>.</w:t>
      </w:r>
      <w:r w:rsidR="00A44232" w:rsidRPr="00D7124D">
        <w:t>P</w:t>
      </w:r>
      <w:r w:rsidR="00F84ADF" w:rsidRPr="00D7124D">
        <w:t xml:space="preserve">., </w:t>
      </w:r>
      <w:r w:rsidR="00A44232" w:rsidRPr="00D7124D">
        <w:t xml:space="preserve">2002. </w:t>
      </w:r>
      <w:bookmarkEnd w:id="3"/>
      <w:r w:rsidR="00A44232" w:rsidRPr="00F84ADF">
        <w:t>F</w:t>
      </w:r>
      <w:r w:rsidR="00A44232" w:rsidRPr="00F84ADF">
        <w:rPr>
          <w:rStyle w:val="title-text"/>
        </w:rPr>
        <w:t xml:space="preserve">eeding, respiration and egg production rates of copepods during austral spring in the Indian sector of the Antarctic Ocean: role of the zooplankton community in carbon transformation. </w:t>
      </w:r>
      <w:r w:rsidR="00F84ADF" w:rsidRPr="00F84ADF">
        <w:rPr>
          <w:rStyle w:val="title-text"/>
          <w:i/>
        </w:rPr>
        <w:t>Deep Sea Research Part I: Oceanographic Research Papers</w:t>
      </w:r>
      <w:r w:rsidR="00A44232" w:rsidRPr="00F84ADF">
        <w:rPr>
          <w:rStyle w:val="title-text"/>
        </w:rPr>
        <w:t xml:space="preserve">, </w:t>
      </w:r>
      <w:r w:rsidR="00A44232" w:rsidRPr="00F84ADF">
        <w:rPr>
          <w:rStyle w:val="title-text"/>
          <w:b/>
        </w:rPr>
        <w:t>49</w:t>
      </w:r>
      <w:r w:rsidR="00F84ADF">
        <w:rPr>
          <w:rStyle w:val="title-text"/>
        </w:rPr>
        <w:t>,</w:t>
      </w:r>
      <w:r w:rsidR="00A44232" w:rsidRPr="00F84ADF">
        <w:rPr>
          <w:rStyle w:val="title-text"/>
        </w:rPr>
        <w:t>1027</w:t>
      </w:r>
      <w:r w:rsidR="00F84ADF">
        <w:rPr>
          <w:rStyle w:val="title-text"/>
        </w:rPr>
        <w:t>–</w:t>
      </w:r>
      <w:r w:rsidR="00A44232" w:rsidRPr="00F84ADF">
        <w:rPr>
          <w:rStyle w:val="title-text"/>
        </w:rPr>
        <w:t>1048.</w:t>
      </w:r>
    </w:p>
    <w:p w:rsidR="00F84ADF" w:rsidRPr="00F84ADF" w:rsidRDefault="00A44232" w:rsidP="00F84ADF">
      <w:pPr>
        <w:pStyle w:val="Bibliographie"/>
      </w:pPr>
      <w:r w:rsidRPr="00F84ADF">
        <w:t>Meunier C</w:t>
      </w:r>
      <w:r w:rsidR="00F84ADF">
        <w:t>.</w:t>
      </w:r>
      <w:r w:rsidRPr="00F84ADF">
        <w:t>L</w:t>
      </w:r>
      <w:r w:rsidR="00F84ADF">
        <w:t>.</w:t>
      </w:r>
      <w:r w:rsidRPr="00F84ADF">
        <w:t>, Alvarez-Fernandez S</w:t>
      </w:r>
      <w:r w:rsidR="00F84ADF">
        <w:t>.</w:t>
      </w:r>
      <w:r w:rsidRPr="00F84ADF">
        <w:t>, Cunha-dupont A</w:t>
      </w:r>
      <w:r w:rsidR="00F84ADF">
        <w:t>.</w:t>
      </w:r>
      <w:r w:rsidRPr="00F84ADF">
        <w:t>Ö</w:t>
      </w:r>
      <w:r w:rsidR="00F84ADF">
        <w:t>.</w:t>
      </w:r>
      <w:r w:rsidRPr="00F84ADF">
        <w:t>, Geisen A</w:t>
      </w:r>
      <w:r w:rsidR="00F84ADF">
        <w:t>.</w:t>
      </w:r>
      <w:r w:rsidRPr="00F84ADF">
        <w:t>, Malzahn A</w:t>
      </w:r>
      <w:r w:rsidR="00F84ADF">
        <w:t>.</w:t>
      </w:r>
      <w:r w:rsidRPr="00F84ADF">
        <w:t>, Boersma M</w:t>
      </w:r>
      <w:r w:rsidR="00F84ADF">
        <w:t>.</w:t>
      </w:r>
      <w:r w:rsidRPr="00F84ADF">
        <w:t>, Wiltshire K</w:t>
      </w:r>
      <w:r w:rsidR="00F84ADF">
        <w:t>.</w:t>
      </w:r>
      <w:r w:rsidRPr="00F84ADF">
        <w:t>H</w:t>
      </w:r>
      <w:r w:rsidR="00F84ADF">
        <w:t xml:space="preserve">., </w:t>
      </w:r>
      <w:r w:rsidRPr="00F84ADF">
        <w:t xml:space="preserve">2018. The craving for phosphorus in heterotrophic dinoflagellates and its potential implications for biogeochemical cycles. </w:t>
      </w:r>
      <w:r w:rsidR="00F84ADF" w:rsidRPr="00F84ADF">
        <w:rPr>
          <w:i/>
        </w:rPr>
        <w:t>Limnology &amp; Oceanography</w:t>
      </w:r>
      <w:r w:rsidR="00F84ADF" w:rsidRPr="00F84ADF">
        <w:t xml:space="preserve">, </w:t>
      </w:r>
      <w:hyperlink r:id="rId13" w:history="1">
        <w:r w:rsidR="00F84ADF" w:rsidRPr="001B5FF4">
          <w:rPr>
            <w:rStyle w:val="Lienhypertexte"/>
          </w:rPr>
          <w:t>https://doi.org/10.1002/lno.10807</w:t>
        </w:r>
      </w:hyperlink>
      <w:r w:rsidR="00F84ADF">
        <w:t>.</w:t>
      </w:r>
    </w:p>
    <w:p w:rsidR="00A44232" w:rsidRPr="00B36AD0" w:rsidRDefault="00A44232" w:rsidP="00F84ADF">
      <w:pPr>
        <w:pStyle w:val="Bibliographie"/>
      </w:pPr>
      <w:r w:rsidRPr="00F84ADF">
        <w:t>Vincent D</w:t>
      </w:r>
      <w:r w:rsidR="00F84ADF">
        <w:t>.</w:t>
      </w:r>
      <w:r w:rsidRPr="00F84ADF">
        <w:t>, Hartmann H</w:t>
      </w:r>
      <w:r w:rsidR="00F84ADF">
        <w:t>.</w:t>
      </w:r>
      <w:r w:rsidRPr="00F84ADF">
        <w:t>J</w:t>
      </w:r>
      <w:r w:rsidR="00F84ADF">
        <w:t xml:space="preserve">., </w:t>
      </w:r>
      <w:r w:rsidRPr="00F84ADF">
        <w:t>2001. Contribution</w:t>
      </w:r>
      <w:r w:rsidRPr="00B36AD0">
        <w:t xml:space="preserve"> of ciliated microprotozoans and dinoflagellates to the diet of three copepod species in the Bay of Biscay. </w:t>
      </w:r>
      <w:r w:rsidRPr="00F84ADF">
        <w:rPr>
          <w:i/>
        </w:rPr>
        <w:t>Hydrobiol</w:t>
      </w:r>
      <w:r w:rsidR="00F84ADF" w:rsidRPr="00F84ADF">
        <w:rPr>
          <w:i/>
        </w:rPr>
        <w:t>ogia</w:t>
      </w:r>
      <w:r w:rsidRPr="00B36AD0">
        <w:t xml:space="preserve">, </w:t>
      </w:r>
      <w:r w:rsidRPr="00F84ADF">
        <w:rPr>
          <w:b/>
        </w:rPr>
        <w:t>443</w:t>
      </w:r>
      <w:r w:rsidR="00F84ADF">
        <w:t>,</w:t>
      </w:r>
      <w:r w:rsidRPr="00B36AD0">
        <w:t xml:space="preserve"> 193</w:t>
      </w:r>
      <w:r w:rsidR="00F84ADF">
        <w:t>–</w:t>
      </w:r>
      <w:r w:rsidRPr="00B36AD0">
        <w:t>204</w:t>
      </w:r>
      <w:r w:rsidR="00F84ADF">
        <w:t>.</w:t>
      </w:r>
    </w:p>
    <w:p w:rsidR="00D0498F" w:rsidRPr="00D0498F" w:rsidRDefault="00D0498F" w:rsidP="00D0498F">
      <w:pPr>
        <w:pBdr>
          <w:bottom w:val="single" w:sz="8" w:space="1" w:color="000000" w:themeColor="text1"/>
        </w:pBdr>
        <w:rPr>
          <w:lang w:val="en-US"/>
        </w:rPr>
      </w:pPr>
    </w:p>
    <w:sectPr w:rsidR="00D0498F" w:rsidRPr="00D0498F" w:rsidSect="00751E33">
      <w:pgSz w:w="11900" w:h="16840"/>
      <w:pgMar w:top="1610" w:right="1418" w:bottom="863" w:left="1418" w:header="44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287" w:rsidRDefault="001D2287" w:rsidP="001400EB">
      <w:r>
        <w:separator/>
      </w:r>
    </w:p>
  </w:endnote>
  <w:endnote w:type="continuationSeparator" w:id="0">
    <w:p w:rsidR="001D2287" w:rsidRDefault="001D2287" w:rsidP="0014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TT5235d5a9+22">
    <w:altName w:val="Arial Unicode MS"/>
    <w:panose1 w:val="020B0604020202020204"/>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287" w:rsidRDefault="001D2287" w:rsidP="001400EB">
      <w:r>
        <w:separator/>
      </w:r>
    </w:p>
  </w:footnote>
  <w:footnote w:type="continuationSeparator" w:id="0">
    <w:p w:rsidR="001D2287" w:rsidRDefault="001D2287" w:rsidP="001400EB">
      <w:r>
        <w:continuationSeparator/>
      </w:r>
    </w:p>
  </w:footnote>
  <w:footnote w:id="1">
    <w:p w:rsidR="00CC2B2A" w:rsidRPr="00A44232" w:rsidRDefault="00CC2B2A">
      <w:pPr>
        <w:pStyle w:val="Notedebasdepage"/>
        <w:rPr>
          <w:rFonts w:ascii="Arial" w:hAnsi="Arial" w:cs="Arial"/>
        </w:rPr>
      </w:pPr>
      <w:r w:rsidRPr="00A44232">
        <w:rPr>
          <w:rStyle w:val="Appelnotedebasdep"/>
          <w:rFonts w:ascii="Arial" w:hAnsi="Arial" w:cs="Arial"/>
        </w:rPr>
        <w:footnoteRef/>
      </w:r>
      <w:r w:rsidRPr="00A44232">
        <w:rPr>
          <w:rFonts w:ascii="Arial" w:hAnsi="Arial" w:cs="Arial"/>
        </w:rPr>
        <w:t xml:space="preserve"> Dominant copepods:</w:t>
      </w:r>
      <w:r w:rsidRPr="00A44232">
        <w:rPr>
          <w:rFonts w:ascii="Arial" w:hAnsi="Arial" w:cs="Arial"/>
          <w:i/>
        </w:rPr>
        <w:t xml:space="preserve"> </w:t>
      </w:r>
      <w:r w:rsidRPr="00A44232">
        <w:rPr>
          <w:rFonts w:ascii="Arial" w:hAnsi="Arial" w:cs="Arial"/>
          <w:i/>
          <w:iCs/>
          <w:lang w:val="en-US"/>
        </w:rPr>
        <w:t>Calanus simillimus</w:t>
      </w:r>
      <w:r w:rsidRPr="00A44232">
        <w:rPr>
          <w:rFonts w:ascii="Arial" w:hAnsi="Arial" w:cs="Arial"/>
          <w:iCs/>
          <w:lang w:val="en-US"/>
        </w:rPr>
        <w:t xml:space="preserve"> and </w:t>
      </w:r>
      <w:r w:rsidRPr="00A44232">
        <w:rPr>
          <w:rFonts w:ascii="Arial" w:hAnsi="Arial" w:cs="Arial"/>
          <w:i/>
          <w:iCs/>
          <w:lang w:val="en-US"/>
        </w:rPr>
        <w:t>Metridia gerlachei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4528"/>
    </w:tblGrid>
    <w:tr w:rsidR="00062451" w:rsidTr="00062451">
      <w:trPr>
        <w:trHeight w:val="867"/>
      </w:trPr>
      <w:tc>
        <w:tcPr>
          <w:tcW w:w="1287" w:type="dxa"/>
          <w:vAlign w:val="center"/>
        </w:tcPr>
        <w:p w:rsidR="00062451" w:rsidRDefault="00062451" w:rsidP="00751E33">
          <w:r>
            <w:rPr>
              <w:noProof/>
              <w:lang w:eastAsia="fr-FR"/>
            </w:rPr>
            <w:drawing>
              <wp:inline distT="0" distB="0" distL="0" distR="0">
                <wp:extent cx="576186" cy="503731"/>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BYDICK.tiff"/>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596842" cy="521789"/>
                        </a:xfrm>
                        <a:prstGeom prst="rect">
                          <a:avLst/>
                        </a:prstGeom>
                        <a:effectLst/>
                      </pic:spPr>
                    </pic:pic>
                  </a:graphicData>
                </a:graphic>
              </wp:inline>
            </w:drawing>
          </w:r>
        </w:p>
      </w:tc>
      <w:tc>
        <w:tcPr>
          <w:tcW w:w="4528" w:type="dxa"/>
          <w:vAlign w:val="center"/>
        </w:tcPr>
        <w:p w:rsidR="00062451" w:rsidRPr="001400EB" w:rsidRDefault="00062451" w:rsidP="00751E33">
          <w:pPr>
            <w:rPr>
              <w:b/>
            </w:rPr>
          </w:pPr>
          <w:r w:rsidRPr="001400EB">
            <w:rPr>
              <w:rFonts w:ascii="Arial" w:hAnsi="Arial" w:cs="Arial"/>
              <w:b/>
              <w:color w:val="D9D9D9" w:themeColor="background1" w:themeShade="D9"/>
              <w:lang w:val="en-US"/>
            </w:rPr>
            <w:t>META-DATA FILE</w:t>
          </w:r>
        </w:p>
      </w:tc>
    </w:tr>
  </w:tbl>
  <w:p w:rsidR="00062451" w:rsidRDefault="000624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65AC9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1C8C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CE61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8C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08AC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1866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628F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1CF0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18D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28C7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12077"/>
    <w:multiLevelType w:val="multilevel"/>
    <w:tmpl w:val="755CC3D8"/>
    <w:lvl w:ilvl="0">
      <w:start w:val="1"/>
      <w:numFmt w:val="bullet"/>
      <w:lvlText w:val=""/>
      <w:lvlJc w:val="left"/>
      <w:pPr>
        <w:ind w:left="17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F06157"/>
    <w:multiLevelType w:val="hybridMultilevel"/>
    <w:tmpl w:val="1E20FCE6"/>
    <w:lvl w:ilvl="0" w:tplc="555860B2">
      <w:start w:val="1"/>
      <w:numFmt w:val="bullet"/>
      <w:lvlText w:val=""/>
      <w:lvlJc w:val="left"/>
      <w:pPr>
        <w:ind w:left="170"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730064"/>
    <w:multiLevelType w:val="hybridMultilevel"/>
    <w:tmpl w:val="755CC3D8"/>
    <w:lvl w:ilvl="0" w:tplc="8DE86B28">
      <w:start w:val="1"/>
      <w:numFmt w:val="bullet"/>
      <w:lvlText w:val=""/>
      <w:lvlJc w:val="left"/>
      <w:pPr>
        <w:ind w:left="170" w:hanging="1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351F9B"/>
    <w:multiLevelType w:val="multilevel"/>
    <w:tmpl w:val="802CBEC6"/>
    <w:numStyleLink w:val="ImportedStyle2"/>
  </w:abstractNum>
  <w:abstractNum w:abstractNumId="14" w15:restartNumberingAfterBreak="0">
    <w:nsid w:val="2BAA4736"/>
    <w:multiLevelType w:val="hybridMultilevel"/>
    <w:tmpl w:val="61485DEC"/>
    <w:styleLink w:val="Numbered"/>
    <w:lvl w:ilvl="0" w:tplc="8C06480E">
      <w:start w:val="1"/>
      <w:numFmt w:val="decimal"/>
      <w:lvlText w:val="%1."/>
      <w:lvlJc w:val="left"/>
      <w:pPr>
        <w:ind w:left="2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5109334">
      <w:start w:val="1"/>
      <w:numFmt w:val="decimal"/>
      <w:lvlText w:val="%2."/>
      <w:lvlJc w:val="left"/>
      <w:pPr>
        <w:ind w:left="10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88C1C08">
      <w:start w:val="1"/>
      <w:numFmt w:val="decimal"/>
      <w:lvlText w:val="%3."/>
      <w:lvlJc w:val="left"/>
      <w:pPr>
        <w:ind w:left="18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3DC0850">
      <w:start w:val="1"/>
      <w:numFmt w:val="decimal"/>
      <w:lvlText w:val="%4."/>
      <w:lvlJc w:val="left"/>
      <w:pPr>
        <w:ind w:left="26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7542106">
      <w:start w:val="1"/>
      <w:numFmt w:val="decimal"/>
      <w:lvlText w:val="%5."/>
      <w:lvlJc w:val="left"/>
      <w:pPr>
        <w:ind w:left="34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0CECC8A">
      <w:start w:val="1"/>
      <w:numFmt w:val="decimal"/>
      <w:lvlText w:val="%6."/>
      <w:lvlJc w:val="left"/>
      <w:pPr>
        <w:ind w:left="42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8CC89DE">
      <w:start w:val="1"/>
      <w:numFmt w:val="decimal"/>
      <w:lvlText w:val="%7."/>
      <w:lvlJc w:val="left"/>
      <w:pPr>
        <w:ind w:left="50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548CED6">
      <w:start w:val="1"/>
      <w:numFmt w:val="decimal"/>
      <w:lvlText w:val="%8."/>
      <w:lvlJc w:val="left"/>
      <w:pPr>
        <w:ind w:left="58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86A7E68">
      <w:start w:val="1"/>
      <w:numFmt w:val="decimal"/>
      <w:lvlText w:val="%9."/>
      <w:lvlJc w:val="left"/>
      <w:pPr>
        <w:ind w:left="6653" w:hanging="25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2BE06326"/>
    <w:multiLevelType w:val="hybridMultilevel"/>
    <w:tmpl w:val="D3C24A4C"/>
    <w:lvl w:ilvl="0" w:tplc="3CCCBA5E">
      <w:start w:val="1"/>
      <w:numFmt w:val="bullet"/>
      <w:lvlText w:val=""/>
      <w:lvlJc w:val="left"/>
      <w:pPr>
        <w:ind w:left="238" w:hanging="17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675C14"/>
    <w:multiLevelType w:val="hybridMultilevel"/>
    <w:tmpl w:val="A31836F2"/>
    <w:lvl w:ilvl="0" w:tplc="9DAA28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C35DE5"/>
    <w:multiLevelType w:val="multilevel"/>
    <w:tmpl w:val="D5EC613A"/>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E62C53"/>
    <w:multiLevelType w:val="multilevel"/>
    <w:tmpl w:val="802CBEC6"/>
    <w:styleLink w:val="ImportedStyle2"/>
    <w:lvl w:ilvl="0">
      <w:start w:val="1"/>
      <w:numFmt w:val="decimal"/>
      <w:lvlText w:val="%1."/>
      <w:lvlJc w:val="left"/>
      <w:pPr>
        <w:tabs>
          <w:tab w:val="num" w:pos="360"/>
          <w:tab w:val="left" w:pos="470"/>
        </w:tabs>
        <w:ind w:left="250" w:hanging="1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suff w:val="nothing"/>
      <w:lvlText w:val="%1.%2."/>
      <w:lvlJc w:val="left"/>
      <w:pPr>
        <w:tabs>
          <w:tab w:val="left" w:pos="360"/>
          <w:tab w:val="left" w:pos="470"/>
        </w:tabs>
        <w:ind w:left="542" w:hanging="212"/>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nothing"/>
      <w:lvlText w:val="%1.%2.%3."/>
      <w:lvlJc w:val="left"/>
      <w:pPr>
        <w:tabs>
          <w:tab w:val="left" w:pos="360"/>
          <w:tab w:val="left" w:pos="470"/>
        </w:tabs>
        <w:ind w:left="974" w:hanging="50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2.%3.%4."/>
      <w:lvlJc w:val="left"/>
      <w:pPr>
        <w:tabs>
          <w:tab w:val="left" w:pos="360"/>
          <w:tab w:val="left" w:pos="470"/>
        </w:tabs>
        <w:ind w:left="1478" w:hanging="50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1.%2.%3.%4.%5."/>
      <w:lvlJc w:val="left"/>
      <w:pPr>
        <w:tabs>
          <w:tab w:val="left" w:pos="360"/>
          <w:tab w:val="left" w:pos="470"/>
        </w:tabs>
        <w:ind w:left="1982" w:hanging="8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1.%2.%3.%4.%5.%6."/>
      <w:lvlJc w:val="left"/>
      <w:pPr>
        <w:tabs>
          <w:tab w:val="left" w:pos="360"/>
          <w:tab w:val="left" w:pos="470"/>
        </w:tabs>
        <w:ind w:left="2486" w:hanging="8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1.%2.%3.%4.%5.%6.%7."/>
      <w:lvlJc w:val="left"/>
      <w:pPr>
        <w:tabs>
          <w:tab w:val="left" w:pos="360"/>
          <w:tab w:val="left" w:pos="470"/>
        </w:tabs>
        <w:ind w:left="2990" w:hanging="12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tabs>
          <w:tab w:val="left" w:pos="360"/>
          <w:tab w:val="left" w:pos="470"/>
        </w:tabs>
        <w:ind w:left="3494" w:hanging="12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1.%2.%3.%4.%5.%6.%7.%8.%9."/>
      <w:lvlJc w:val="left"/>
      <w:pPr>
        <w:tabs>
          <w:tab w:val="left" w:pos="360"/>
          <w:tab w:val="left" w:pos="470"/>
        </w:tabs>
        <w:ind w:left="4070" w:hanging="158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15:restartNumberingAfterBreak="0">
    <w:nsid w:val="4F4B26EE"/>
    <w:multiLevelType w:val="multilevel"/>
    <w:tmpl w:val="B4EAEC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6D58E4"/>
    <w:multiLevelType w:val="multilevel"/>
    <w:tmpl w:val="D29EAD72"/>
    <w:lvl w:ilvl="0">
      <w:start w:val="1"/>
      <w:numFmt w:val="bullet"/>
      <w:lvlText w:val=""/>
      <w:lvlJc w:val="left"/>
      <w:pPr>
        <w:ind w:left="36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6C5ED0"/>
    <w:multiLevelType w:val="hybridMultilevel"/>
    <w:tmpl w:val="61485DEC"/>
    <w:numStyleLink w:val="Numbered"/>
  </w:abstractNum>
  <w:abstractNum w:abstractNumId="22" w15:restartNumberingAfterBreak="0">
    <w:nsid w:val="720573CF"/>
    <w:multiLevelType w:val="hybridMultilevel"/>
    <w:tmpl w:val="D29EAD72"/>
    <w:lvl w:ilvl="0" w:tplc="9D4627A0">
      <w:start w:val="1"/>
      <w:numFmt w:val="bullet"/>
      <w:pStyle w:val="Listepuces"/>
      <w:lvlText w:val=""/>
      <w:lvlJc w:val="left"/>
      <w:pPr>
        <w:ind w:left="36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19"/>
  </w:num>
  <w:num w:numId="5">
    <w:abstractNumId w:val="17"/>
  </w:num>
  <w:num w:numId="6">
    <w:abstractNumId w:val="15"/>
  </w:num>
  <w:num w:numId="7">
    <w:abstractNumId w:val="14"/>
  </w:num>
  <w:num w:numId="8">
    <w:abstractNumId w:val="21"/>
  </w:num>
  <w:num w:numId="9">
    <w:abstractNumId w:val="16"/>
  </w:num>
  <w:num w:numId="10">
    <w:abstractNumId w:val="4"/>
  </w:num>
  <w:num w:numId="11">
    <w:abstractNumId w:val="5"/>
  </w:num>
  <w:num w:numId="12">
    <w:abstractNumId w:val="6"/>
  </w:num>
  <w:num w:numId="13">
    <w:abstractNumId w:val="7"/>
  </w:num>
  <w:num w:numId="14">
    <w:abstractNumId w:val="9"/>
  </w:num>
  <w:num w:numId="15">
    <w:abstractNumId w:val="0"/>
  </w:num>
  <w:num w:numId="16">
    <w:abstractNumId w:val="1"/>
  </w:num>
  <w:num w:numId="17">
    <w:abstractNumId w:val="2"/>
  </w:num>
  <w:num w:numId="18">
    <w:abstractNumId w:val="3"/>
  </w:num>
  <w:num w:numId="19">
    <w:abstractNumId w:val="8"/>
  </w:num>
  <w:num w:numId="20">
    <w:abstractNumId w:val="22"/>
  </w:num>
  <w:num w:numId="21">
    <w:abstractNumId w:val="20"/>
  </w:num>
  <w:num w:numId="22">
    <w:abstractNumId w:val="18"/>
  </w:num>
  <w:num w:numId="23">
    <w:abstractNumId w:val="13"/>
    <w:lvlOverride w:ilvl="0">
      <w:lvl w:ilvl="0">
        <w:start w:val="1"/>
        <w:numFmt w:val="decimal"/>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9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792"/>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792"/>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792"/>
          </w:tabs>
          <w:ind w:left="1944"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792"/>
          </w:tabs>
          <w:ind w:left="2448"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792"/>
          </w:tabs>
          <w:ind w:left="2952"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792"/>
          </w:tabs>
          <w:ind w:left="3528"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44"/>
    <w:rsid w:val="000036B9"/>
    <w:rsid w:val="00006CD5"/>
    <w:rsid w:val="00014F48"/>
    <w:rsid w:val="00062451"/>
    <w:rsid w:val="0008641A"/>
    <w:rsid w:val="000B292A"/>
    <w:rsid w:val="001400EB"/>
    <w:rsid w:val="001B6671"/>
    <w:rsid w:val="001D2287"/>
    <w:rsid w:val="002105DB"/>
    <w:rsid w:val="002425CB"/>
    <w:rsid w:val="00242833"/>
    <w:rsid w:val="002820C9"/>
    <w:rsid w:val="002850C1"/>
    <w:rsid w:val="002B22C4"/>
    <w:rsid w:val="002F5641"/>
    <w:rsid w:val="00347739"/>
    <w:rsid w:val="0035228D"/>
    <w:rsid w:val="003A1145"/>
    <w:rsid w:val="003B4FDF"/>
    <w:rsid w:val="00407E9E"/>
    <w:rsid w:val="00441431"/>
    <w:rsid w:val="00496457"/>
    <w:rsid w:val="004E5FB5"/>
    <w:rsid w:val="004E753F"/>
    <w:rsid w:val="004F1AEF"/>
    <w:rsid w:val="00513493"/>
    <w:rsid w:val="00590B44"/>
    <w:rsid w:val="005A6C46"/>
    <w:rsid w:val="005C3343"/>
    <w:rsid w:val="005C7618"/>
    <w:rsid w:val="0064095B"/>
    <w:rsid w:val="00662969"/>
    <w:rsid w:val="006A7880"/>
    <w:rsid w:val="006D2B5E"/>
    <w:rsid w:val="00751E33"/>
    <w:rsid w:val="00781ABF"/>
    <w:rsid w:val="007A4584"/>
    <w:rsid w:val="008645D3"/>
    <w:rsid w:val="00886475"/>
    <w:rsid w:val="00894510"/>
    <w:rsid w:val="008953A5"/>
    <w:rsid w:val="008F78F4"/>
    <w:rsid w:val="00900E02"/>
    <w:rsid w:val="00915616"/>
    <w:rsid w:val="00925C31"/>
    <w:rsid w:val="00A44232"/>
    <w:rsid w:val="00A96236"/>
    <w:rsid w:val="00AC0F4E"/>
    <w:rsid w:val="00AC1DA0"/>
    <w:rsid w:val="00AE2BD6"/>
    <w:rsid w:val="00B36AD0"/>
    <w:rsid w:val="00B95F85"/>
    <w:rsid w:val="00BD4F8E"/>
    <w:rsid w:val="00BE1040"/>
    <w:rsid w:val="00C075D7"/>
    <w:rsid w:val="00C54ED5"/>
    <w:rsid w:val="00C809EF"/>
    <w:rsid w:val="00CA6C51"/>
    <w:rsid w:val="00CC2B2A"/>
    <w:rsid w:val="00CC6AF2"/>
    <w:rsid w:val="00CD6252"/>
    <w:rsid w:val="00CE2744"/>
    <w:rsid w:val="00D0498F"/>
    <w:rsid w:val="00D31945"/>
    <w:rsid w:val="00D45156"/>
    <w:rsid w:val="00D7124D"/>
    <w:rsid w:val="00D74D4F"/>
    <w:rsid w:val="00D95330"/>
    <w:rsid w:val="00DB2332"/>
    <w:rsid w:val="00DB5522"/>
    <w:rsid w:val="00DD78A1"/>
    <w:rsid w:val="00E547A0"/>
    <w:rsid w:val="00E7030C"/>
    <w:rsid w:val="00E72F86"/>
    <w:rsid w:val="00E8335F"/>
    <w:rsid w:val="00EC4908"/>
    <w:rsid w:val="00EF2868"/>
    <w:rsid w:val="00F41DB0"/>
    <w:rsid w:val="00F41FCC"/>
    <w:rsid w:val="00F84ADF"/>
    <w:rsid w:val="00F92F59"/>
    <w:rsid w:val="00F95E3A"/>
    <w:rsid w:val="00FB3DF8"/>
    <w:rsid w:val="00FF0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E6886"/>
  <w15:docId w15:val="{ACE45757-1543-6D45-8D30-0E0CA2F0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6B9"/>
  </w:style>
  <w:style w:type="paragraph" w:styleId="Titre1">
    <w:name w:val="heading 1"/>
    <w:basedOn w:val="Normal"/>
    <w:next w:val="Normal"/>
    <w:link w:val="Titre1Car"/>
    <w:uiPriority w:val="9"/>
    <w:qFormat/>
    <w:rsid w:val="00D0498F"/>
    <w:pPr>
      <w:keepNext/>
      <w:keepLines/>
      <w:numPr>
        <w:numId w:val="5"/>
      </w:numPr>
      <w:spacing w:before="240"/>
      <w:outlineLvl w:val="0"/>
    </w:pPr>
    <w:rPr>
      <w:rFonts w:ascii="Arial" w:eastAsiaTheme="majorEastAsia" w:hAnsi="Arial" w:cstheme="majorBidi"/>
      <w:b/>
      <w:color w:val="000000" w:themeColor="text1"/>
      <w:sz w:val="32"/>
      <w:szCs w:val="32"/>
    </w:rPr>
  </w:style>
  <w:style w:type="paragraph" w:styleId="Titre2">
    <w:name w:val="heading 2"/>
    <w:basedOn w:val="Normal"/>
    <w:next w:val="Normal"/>
    <w:link w:val="Titre2Car"/>
    <w:uiPriority w:val="9"/>
    <w:unhideWhenUsed/>
    <w:qFormat/>
    <w:rsid w:val="00D0498F"/>
    <w:pPr>
      <w:keepNext/>
      <w:keepLines/>
      <w:numPr>
        <w:ilvl w:val="1"/>
        <w:numId w:val="5"/>
      </w:numPr>
      <w:spacing w:before="240"/>
      <w:ind w:left="992" w:hanging="567"/>
      <w:outlineLvl w:val="1"/>
    </w:pPr>
    <w:rPr>
      <w:rFonts w:ascii="Arial" w:eastAsiaTheme="majorEastAsia" w:hAnsi="Arial" w:cs="Arial"/>
      <w:b/>
      <w:color w:val="0070C0"/>
      <w:sz w:val="26"/>
      <w:szCs w:val="2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95F85"/>
    <w:rPr>
      <w:color w:val="0563C1" w:themeColor="hyperlink"/>
      <w:u w:val="single"/>
    </w:rPr>
  </w:style>
  <w:style w:type="character" w:customStyle="1" w:styleId="Mentionnonrsolue1">
    <w:name w:val="Mention non résolue1"/>
    <w:basedOn w:val="Policepardfaut"/>
    <w:uiPriority w:val="99"/>
    <w:rsid w:val="00DD78A1"/>
    <w:rPr>
      <w:color w:val="808080"/>
      <w:shd w:val="clear" w:color="auto" w:fill="E6E6E6"/>
    </w:rPr>
  </w:style>
  <w:style w:type="character" w:styleId="Lienhypertextesuivivisit">
    <w:name w:val="FollowedHyperlink"/>
    <w:basedOn w:val="Policepardfaut"/>
    <w:uiPriority w:val="99"/>
    <w:semiHidden/>
    <w:unhideWhenUsed/>
    <w:rsid w:val="00DD78A1"/>
    <w:rPr>
      <w:color w:val="954F72" w:themeColor="followedHyperlink"/>
      <w:u w:val="single"/>
    </w:rPr>
  </w:style>
  <w:style w:type="paragraph" w:styleId="Paragraphedeliste">
    <w:name w:val="List Paragraph"/>
    <w:basedOn w:val="Normal"/>
    <w:uiPriority w:val="34"/>
    <w:qFormat/>
    <w:rsid w:val="00B95F85"/>
    <w:pPr>
      <w:ind w:left="720"/>
      <w:contextualSpacing/>
    </w:pPr>
  </w:style>
  <w:style w:type="table" w:styleId="Grilledutableau">
    <w:name w:val="Table Grid"/>
    <w:basedOn w:val="TableauNormal"/>
    <w:uiPriority w:val="59"/>
    <w:rsid w:val="00B95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400EB"/>
    <w:pPr>
      <w:tabs>
        <w:tab w:val="center" w:pos="4536"/>
        <w:tab w:val="right" w:pos="9072"/>
      </w:tabs>
    </w:pPr>
  </w:style>
  <w:style w:type="character" w:customStyle="1" w:styleId="En-tteCar">
    <w:name w:val="En-tête Car"/>
    <w:basedOn w:val="Policepardfaut"/>
    <w:link w:val="En-tte"/>
    <w:uiPriority w:val="99"/>
    <w:rsid w:val="001400EB"/>
  </w:style>
  <w:style w:type="paragraph" w:styleId="Pieddepage">
    <w:name w:val="footer"/>
    <w:basedOn w:val="Normal"/>
    <w:link w:val="PieddepageCar"/>
    <w:uiPriority w:val="99"/>
    <w:unhideWhenUsed/>
    <w:rsid w:val="001400EB"/>
    <w:pPr>
      <w:tabs>
        <w:tab w:val="center" w:pos="4536"/>
        <w:tab w:val="right" w:pos="9072"/>
      </w:tabs>
    </w:pPr>
  </w:style>
  <w:style w:type="character" w:customStyle="1" w:styleId="PieddepageCar">
    <w:name w:val="Pied de page Car"/>
    <w:basedOn w:val="Policepardfaut"/>
    <w:link w:val="Pieddepage"/>
    <w:uiPriority w:val="99"/>
    <w:rsid w:val="001400EB"/>
  </w:style>
  <w:style w:type="character" w:customStyle="1" w:styleId="Titre1Car">
    <w:name w:val="Titre 1 Car"/>
    <w:basedOn w:val="Policepardfaut"/>
    <w:link w:val="Titre1"/>
    <w:uiPriority w:val="9"/>
    <w:rsid w:val="00D0498F"/>
    <w:rPr>
      <w:rFonts w:ascii="Arial" w:eastAsiaTheme="majorEastAsia" w:hAnsi="Arial" w:cstheme="majorBidi"/>
      <w:b/>
      <w:color w:val="000000" w:themeColor="text1"/>
      <w:sz w:val="32"/>
      <w:szCs w:val="32"/>
    </w:rPr>
  </w:style>
  <w:style w:type="character" w:customStyle="1" w:styleId="Titre2Car">
    <w:name w:val="Titre 2 Car"/>
    <w:basedOn w:val="Policepardfaut"/>
    <w:link w:val="Titre2"/>
    <w:uiPriority w:val="9"/>
    <w:rsid w:val="00D0498F"/>
    <w:rPr>
      <w:rFonts w:ascii="Arial" w:eastAsiaTheme="majorEastAsia" w:hAnsi="Arial" w:cs="Arial"/>
      <w:b/>
      <w:color w:val="0070C0"/>
      <w:sz w:val="26"/>
      <w:szCs w:val="26"/>
      <w:lang w:val="en-US"/>
    </w:rPr>
  </w:style>
  <w:style w:type="paragraph" w:customStyle="1" w:styleId="Paragraphestandard">
    <w:name w:val="Paragraphe standard"/>
    <w:basedOn w:val="Normal"/>
    <w:qFormat/>
    <w:rsid w:val="00EC4908"/>
    <w:pPr>
      <w:spacing w:before="120"/>
      <w:ind w:firstLine="425"/>
      <w:jc w:val="both"/>
    </w:pPr>
    <w:rPr>
      <w:rFonts w:ascii="Arial" w:hAnsi="Arial"/>
      <w:lang w:val="en-US"/>
    </w:rPr>
  </w:style>
  <w:style w:type="paragraph" w:customStyle="1" w:styleId="Default">
    <w:name w:val="Default"/>
    <w:rsid w:val="00D0498F"/>
    <w:pPr>
      <w:pBdr>
        <w:top w:val="nil"/>
        <w:left w:val="nil"/>
        <w:bottom w:val="nil"/>
        <w:right w:val="nil"/>
        <w:between w:val="nil"/>
        <w:bar w:val="nil"/>
      </w:pBdr>
    </w:pPr>
    <w:rPr>
      <w:rFonts w:ascii="Helvetica Neue" w:eastAsia="Helvetica Neue" w:hAnsi="Helvetica Neue" w:cs="Helvetica Neue"/>
      <w:color w:val="000000"/>
      <w:sz w:val="22"/>
      <w:szCs w:val="22"/>
      <w:bdr w:val="nil"/>
      <w:lang w:eastAsia="fr-FR"/>
    </w:rPr>
  </w:style>
  <w:style w:type="character" w:customStyle="1" w:styleId="Hyperlink0">
    <w:name w:val="Hyperlink.0"/>
    <w:basedOn w:val="Lienhypertexte"/>
    <w:rsid w:val="00D0498F"/>
    <w:rPr>
      <w:color w:val="0000FF"/>
      <w:u w:val="single" w:color="0000FF"/>
    </w:rPr>
  </w:style>
  <w:style w:type="character" w:customStyle="1" w:styleId="Absatz-Standardschriftart">
    <w:name w:val="Absatz-Standardschriftart"/>
    <w:rsid w:val="00AC1DA0"/>
  </w:style>
  <w:style w:type="paragraph" w:customStyle="1" w:styleId="Titre10">
    <w:name w:val="Titre1"/>
    <w:next w:val="Corpsdetexte"/>
    <w:rsid w:val="00A96236"/>
    <w:pPr>
      <w:pBdr>
        <w:top w:val="nil"/>
        <w:left w:val="nil"/>
        <w:bottom w:val="nil"/>
        <w:right w:val="nil"/>
        <w:between w:val="nil"/>
        <w:bar w:val="nil"/>
      </w:pBdr>
      <w:suppressAutoHyphens/>
      <w:jc w:val="center"/>
    </w:pPr>
    <w:rPr>
      <w:rFonts w:ascii="Times New Roman" w:eastAsia="Arial Unicode MS" w:hAnsi="Times New Roman" w:cs="Arial Unicode MS"/>
      <w:b/>
      <w:bCs/>
      <w:color w:val="000000"/>
      <w:u w:color="000000"/>
      <w:bdr w:val="nil"/>
      <w:lang w:eastAsia="fr-FR"/>
    </w:rPr>
  </w:style>
  <w:style w:type="numbering" w:customStyle="1" w:styleId="Numbered">
    <w:name w:val="Numbered"/>
    <w:rsid w:val="00A96236"/>
    <w:pPr>
      <w:numPr>
        <w:numId w:val="7"/>
      </w:numPr>
    </w:pPr>
  </w:style>
  <w:style w:type="paragraph" w:styleId="Corpsdetexte">
    <w:name w:val="Body Text"/>
    <w:basedOn w:val="Normal"/>
    <w:link w:val="CorpsdetexteCar"/>
    <w:uiPriority w:val="99"/>
    <w:semiHidden/>
    <w:unhideWhenUsed/>
    <w:rsid w:val="00A96236"/>
    <w:pPr>
      <w:spacing w:after="120"/>
    </w:pPr>
  </w:style>
  <w:style w:type="character" w:customStyle="1" w:styleId="CorpsdetexteCar">
    <w:name w:val="Corps de texte Car"/>
    <w:basedOn w:val="Policepardfaut"/>
    <w:link w:val="Corpsdetexte"/>
    <w:uiPriority w:val="99"/>
    <w:semiHidden/>
    <w:rsid w:val="00A96236"/>
  </w:style>
  <w:style w:type="paragraph" w:styleId="Listepuces">
    <w:name w:val="List Bullet"/>
    <w:basedOn w:val="Normal"/>
    <w:uiPriority w:val="99"/>
    <w:unhideWhenUsed/>
    <w:rsid w:val="002850C1"/>
    <w:pPr>
      <w:numPr>
        <w:numId w:val="20"/>
      </w:numPr>
      <w:spacing w:before="120"/>
      <w:ind w:left="357" w:hanging="215"/>
      <w:jc w:val="both"/>
    </w:pPr>
    <w:rPr>
      <w:rFonts w:ascii="Arial" w:hAnsi="Arial" w:cs="Arial"/>
    </w:rPr>
  </w:style>
  <w:style w:type="paragraph" w:styleId="Commentaire">
    <w:name w:val="annotation text"/>
    <w:basedOn w:val="Normal"/>
    <w:link w:val="CommentaireCar"/>
    <w:uiPriority w:val="99"/>
    <w:semiHidden/>
    <w:unhideWhenUsed/>
    <w:rsid w:val="00441431"/>
    <w:rPr>
      <w:sz w:val="20"/>
      <w:szCs w:val="20"/>
    </w:rPr>
  </w:style>
  <w:style w:type="character" w:customStyle="1" w:styleId="CommentaireCar">
    <w:name w:val="Commentaire Car"/>
    <w:basedOn w:val="Policepardfaut"/>
    <w:link w:val="Commentaire"/>
    <w:uiPriority w:val="99"/>
    <w:semiHidden/>
    <w:rsid w:val="00441431"/>
    <w:rPr>
      <w:sz w:val="20"/>
      <w:szCs w:val="20"/>
    </w:rPr>
  </w:style>
  <w:style w:type="paragraph" w:styleId="Objetducommentaire">
    <w:name w:val="annotation subject"/>
    <w:basedOn w:val="Commentaire"/>
    <w:next w:val="Commentaire"/>
    <w:link w:val="ObjetducommentaireCar"/>
    <w:uiPriority w:val="99"/>
    <w:semiHidden/>
    <w:unhideWhenUsed/>
    <w:rsid w:val="00441431"/>
    <w:pPr>
      <w:pBdr>
        <w:top w:val="nil"/>
        <w:left w:val="nil"/>
        <w:bottom w:val="nil"/>
        <w:right w:val="nil"/>
        <w:between w:val="nil"/>
        <w:bar w:val="nil"/>
      </w:pBdr>
      <w:suppressAutoHyphens/>
    </w:pPr>
    <w:rPr>
      <w:rFonts w:ascii="Times New Roman" w:eastAsia="Times New Roman" w:hAnsi="Times New Roman" w:cs="Times New Roman"/>
      <w:b/>
      <w:bCs/>
      <w:color w:val="000000"/>
      <w:u w:color="000000"/>
      <w:bdr w:val="nil"/>
      <w:lang w:eastAsia="fr-FR"/>
    </w:rPr>
  </w:style>
  <w:style w:type="character" w:customStyle="1" w:styleId="ObjetducommentaireCar">
    <w:name w:val="Objet du commentaire Car"/>
    <w:basedOn w:val="CommentaireCar"/>
    <w:link w:val="Objetducommentaire"/>
    <w:uiPriority w:val="99"/>
    <w:semiHidden/>
    <w:rsid w:val="00441431"/>
    <w:rPr>
      <w:rFonts w:ascii="Times New Roman" w:eastAsia="Times New Roman" w:hAnsi="Times New Roman" w:cs="Times New Roman"/>
      <w:b/>
      <w:bCs/>
      <w:color w:val="000000"/>
      <w:sz w:val="20"/>
      <w:szCs w:val="20"/>
      <w:u w:color="000000"/>
      <w:bdr w:val="nil"/>
      <w:lang w:eastAsia="fr-FR"/>
    </w:rPr>
  </w:style>
  <w:style w:type="paragraph" w:styleId="Notedebasdepage">
    <w:name w:val="footnote text"/>
    <w:basedOn w:val="Normal"/>
    <w:link w:val="NotedebasdepageCar"/>
    <w:uiPriority w:val="99"/>
    <w:semiHidden/>
    <w:unhideWhenUsed/>
    <w:rsid w:val="00CC2B2A"/>
    <w:rPr>
      <w:sz w:val="20"/>
      <w:szCs w:val="20"/>
    </w:rPr>
  </w:style>
  <w:style w:type="character" w:customStyle="1" w:styleId="NotedebasdepageCar">
    <w:name w:val="Note de bas de page Car"/>
    <w:basedOn w:val="Policepardfaut"/>
    <w:link w:val="Notedebasdepage"/>
    <w:uiPriority w:val="99"/>
    <w:semiHidden/>
    <w:rsid w:val="00CC2B2A"/>
    <w:rPr>
      <w:sz w:val="20"/>
      <w:szCs w:val="20"/>
    </w:rPr>
  </w:style>
  <w:style w:type="character" w:styleId="Appelnotedebasdep">
    <w:name w:val="footnote reference"/>
    <w:basedOn w:val="Policepardfaut"/>
    <w:uiPriority w:val="99"/>
    <w:semiHidden/>
    <w:unhideWhenUsed/>
    <w:rsid w:val="00CC2B2A"/>
    <w:rPr>
      <w:vertAlign w:val="superscript"/>
    </w:rPr>
  </w:style>
  <w:style w:type="numbering" w:customStyle="1" w:styleId="ImportedStyle2">
    <w:name w:val="Imported Style 2"/>
    <w:rsid w:val="00A44232"/>
    <w:pPr>
      <w:numPr>
        <w:numId w:val="22"/>
      </w:numPr>
    </w:pPr>
  </w:style>
  <w:style w:type="character" w:customStyle="1" w:styleId="title-text">
    <w:name w:val="title-text"/>
    <w:basedOn w:val="Policepardfaut"/>
    <w:rsid w:val="00A44232"/>
  </w:style>
  <w:style w:type="character" w:customStyle="1" w:styleId="text">
    <w:name w:val="text"/>
    <w:basedOn w:val="Policepardfaut"/>
    <w:rsid w:val="00A44232"/>
  </w:style>
  <w:style w:type="paragraph" w:styleId="Bibliographie">
    <w:name w:val="Bibliography"/>
    <w:basedOn w:val="Normal"/>
    <w:next w:val="Normal"/>
    <w:uiPriority w:val="37"/>
    <w:unhideWhenUsed/>
    <w:rsid w:val="00F84ADF"/>
    <w:pPr>
      <w:spacing w:before="120"/>
      <w:ind w:left="992" w:hanging="992"/>
      <w:jc w:val="both"/>
    </w:pPr>
    <w:rPr>
      <w:rFonts w:ascii="Arial" w:hAnsi="Arial" w:cs="Arial"/>
      <w:sz w:val="22"/>
      <w:szCs w:val="22"/>
      <w:lang w:val="en-US"/>
    </w:rPr>
  </w:style>
  <w:style w:type="paragraph" w:styleId="En-ttedetabledesmatires">
    <w:name w:val="TOC Heading"/>
    <w:basedOn w:val="Titre1"/>
    <w:next w:val="Normal"/>
    <w:uiPriority w:val="39"/>
    <w:unhideWhenUsed/>
    <w:qFormat/>
    <w:rsid w:val="00B36AD0"/>
    <w:pPr>
      <w:numPr>
        <w:numId w:val="0"/>
      </w:numPr>
      <w:outlineLvl w:val="9"/>
    </w:pPr>
    <w:rPr>
      <w:rFonts w:asciiTheme="majorHAnsi" w:hAnsiTheme="majorHAnsi"/>
      <w:b w:val="0"/>
      <w:color w:val="2F5496" w:themeColor="accent1" w:themeShade="BF"/>
    </w:rPr>
  </w:style>
  <w:style w:type="paragraph" w:styleId="Textedebulles">
    <w:name w:val="Balloon Text"/>
    <w:basedOn w:val="Normal"/>
    <w:link w:val="TextedebullesCar"/>
    <w:uiPriority w:val="99"/>
    <w:semiHidden/>
    <w:unhideWhenUsed/>
    <w:rsid w:val="00E7030C"/>
    <w:rPr>
      <w:rFonts w:ascii="Tahoma" w:hAnsi="Tahoma" w:cs="Tahoma"/>
      <w:sz w:val="16"/>
      <w:szCs w:val="16"/>
    </w:rPr>
  </w:style>
  <w:style w:type="character" w:customStyle="1" w:styleId="TextedebullesCar">
    <w:name w:val="Texte de bulles Car"/>
    <w:basedOn w:val="Policepardfaut"/>
    <w:link w:val="Textedebulles"/>
    <w:uiPriority w:val="99"/>
    <w:semiHidden/>
    <w:rsid w:val="00E70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92498">
      <w:bodyDiv w:val="1"/>
      <w:marLeft w:val="0"/>
      <w:marRight w:val="0"/>
      <w:marTop w:val="0"/>
      <w:marBottom w:val="0"/>
      <w:divBdr>
        <w:top w:val="none" w:sz="0" w:space="0" w:color="auto"/>
        <w:left w:val="none" w:sz="0" w:space="0" w:color="auto"/>
        <w:bottom w:val="none" w:sz="0" w:space="0" w:color="auto"/>
        <w:right w:val="none" w:sz="0" w:space="0" w:color="auto"/>
      </w:divBdr>
    </w:div>
    <w:div w:id="295844247">
      <w:bodyDiv w:val="1"/>
      <w:marLeft w:val="0"/>
      <w:marRight w:val="0"/>
      <w:marTop w:val="0"/>
      <w:marBottom w:val="0"/>
      <w:divBdr>
        <w:top w:val="none" w:sz="0" w:space="0" w:color="auto"/>
        <w:left w:val="none" w:sz="0" w:space="0" w:color="auto"/>
        <w:bottom w:val="none" w:sz="0" w:space="0" w:color="auto"/>
        <w:right w:val="none" w:sz="0" w:space="0" w:color="auto"/>
      </w:divBdr>
    </w:div>
    <w:div w:id="1312708061">
      <w:bodyDiv w:val="1"/>
      <w:marLeft w:val="0"/>
      <w:marRight w:val="0"/>
      <w:marTop w:val="0"/>
      <w:marBottom w:val="0"/>
      <w:divBdr>
        <w:top w:val="none" w:sz="0" w:space="0" w:color="auto"/>
        <w:left w:val="none" w:sz="0" w:space="0" w:color="auto"/>
        <w:bottom w:val="none" w:sz="0" w:space="0" w:color="auto"/>
        <w:right w:val="none" w:sz="0" w:space="0" w:color="auto"/>
      </w:divBdr>
    </w:div>
    <w:div w:id="1355037001">
      <w:bodyDiv w:val="1"/>
      <w:marLeft w:val="0"/>
      <w:marRight w:val="0"/>
      <w:marTop w:val="0"/>
      <w:marBottom w:val="0"/>
      <w:divBdr>
        <w:top w:val="none" w:sz="0" w:space="0" w:color="auto"/>
        <w:left w:val="none" w:sz="0" w:space="0" w:color="auto"/>
        <w:bottom w:val="none" w:sz="0" w:space="0" w:color="auto"/>
        <w:right w:val="none" w:sz="0" w:space="0" w:color="auto"/>
      </w:divBdr>
    </w:div>
    <w:div w:id="2007980247">
      <w:bodyDiv w:val="1"/>
      <w:marLeft w:val="0"/>
      <w:marRight w:val="0"/>
      <w:marTop w:val="0"/>
      <w:marBottom w:val="0"/>
      <w:divBdr>
        <w:top w:val="none" w:sz="0" w:space="0" w:color="auto"/>
        <w:left w:val="none" w:sz="0" w:space="0" w:color="auto"/>
        <w:bottom w:val="none" w:sz="0" w:space="0" w:color="auto"/>
        <w:right w:val="none" w:sz="0" w:space="0" w:color="auto"/>
      </w:divBdr>
    </w:div>
    <w:div w:id="209010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obernosterer@obs-banyuls.fr" TargetMode="External"/><Relationship Id="rId13" Type="http://schemas.openxmlformats.org/officeDocument/2006/relationships/hyperlink" Target="https://doi.org/10.1002/lno.10807" TargetMode="External"/><Relationship Id="rId3" Type="http://schemas.openxmlformats.org/officeDocument/2006/relationships/settings" Target="settings.xml"/><Relationship Id="rId7" Type="http://schemas.openxmlformats.org/officeDocument/2006/relationships/hyperlink" Target="mailto:bernard.queguiner@mio.osupytheas.fr" TargetMode="External"/><Relationship Id="rId12" Type="http://schemas.openxmlformats.org/officeDocument/2006/relationships/hyperlink" Target="https://www.sciencedirect.com/science/article/pii/S0967063702000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lice.delegrange@espe-lnf.fr" TargetMode="External"/><Relationship Id="rId4" Type="http://schemas.openxmlformats.org/officeDocument/2006/relationships/webSettings" Target="webSettings.xml"/><Relationship Id="rId9" Type="http://schemas.openxmlformats.org/officeDocument/2006/relationships/hyperlink" Target="mailto:alice.delegrange@espe-lnf.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1620</Words>
  <Characters>8916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QUEGUINER Bernard</dc:creator>
  <cp:lastModifiedBy>QUEGUINER Bernard</cp:lastModifiedBy>
  <cp:revision>2</cp:revision>
  <dcterms:created xsi:type="dcterms:W3CDTF">2018-06-28T08:42:00Z</dcterms:created>
  <dcterms:modified xsi:type="dcterms:W3CDTF">2018-06-28T08:42:00Z</dcterms:modified>
</cp:coreProperties>
</file>