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Pr="00014568" w:rsidRDefault="00590B44" w:rsidP="00014568">
      <w:pPr>
        <w:ind w:left="1701" w:hanging="1701"/>
        <w:rPr>
          <w:rFonts w:ascii="Arial" w:hAnsi="Arial" w:cs="Arial"/>
          <w:b/>
          <w:color w:val="0070C0"/>
          <w:lang w:val="en-US"/>
        </w:rPr>
      </w:pPr>
      <w:bookmarkStart w:id="0" w:name="_GoBack"/>
      <w:bookmarkEnd w:id="0"/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>et name:</w:t>
      </w:r>
      <w:r w:rsidR="00014568">
        <w:rPr>
          <w:rFonts w:ascii="Arial" w:hAnsi="Arial" w:cs="Arial"/>
          <w:lang w:val="en-US"/>
        </w:rPr>
        <w:tab/>
      </w:r>
      <w:r w:rsidR="00BF74E3">
        <w:rPr>
          <w:rFonts w:ascii="Arial" w:hAnsi="Arial" w:cs="Arial"/>
          <w:b/>
          <w:color w:val="0070C0"/>
          <w:lang w:val="en-US"/>
        </w:rPr>
        <w:t xml:space="preserve">Fatty acids distribution and </w:t>
      </w:r>
      <w:r w:rsidR="009837EB">
        <w:rPr>
          <w:rFonts w:ascii="Arial" w:hAnsi="Arial" w:cs="Arial"/>
          <w:b/>
          <w:color w:val="0070C0"/>
          <w:lang w:val="en-US"/>
        </w:rPr>
        <w:t>production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A555A1" w:rsidRPr="00A555A1" w:rsidRDefault="0032238E" w:rsidP="00A555A1">
            <w:pPr>
              <w:pStyle w:val="Paragraphedeliste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Total </w:t>
            </w:r>
            <w:r w:rsidR="00A555A1" w:rsidRPr="00A555A1">
              <w:rPr>
                <w:rFonts w:ascii="Arial" w:hAnsi="Arial" w:cs="Arial"/>
                <w:b/>
                <w:color w:val="0070C0"/>
                <w:lang w:val="en-US"/>
              </w:rPr>
              <w:t xml:space="preserve">Fatty 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>Acids (FA) concentrations</w:t>
            </w:r>
          </w:p>
          <w:p w:rsidR="0032238E" w:rsidRPr="00A555A1" w:rsidRDefault="0032238E" w:rsidP="0032238E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 w:rsidRPr="00A555A1">
              <w:rPr>
                <w:rFonts w:ascii="Arial" w:hAnsi="Arial" w:cs="Arial"/>
                <w:b/>
                <w:color w:val="0070C0"/>
                <w:lang w:val="en-US"/>
              </w:rPr>
              <w:t xml:space="preserve">Neutral and 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>P</w:t>
            </w:r>
            <w:r w:rsidRPr="00A555A1">
              <w:rPr>
                <w:rFonts w:ascii="Arial" w:hAnsi="Arial" w:cs="Arial"/>
                <w:b/>
                <w:color w:val="0070C0"/>
                <w:lang w:val="en-US"/>
              </w:rPr>
              <w:t xml:space="preserve">olar 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>FA</w:t>
            </w:r>
            <w:r w:rsidRPr="00A555A1">
              <w:rPr>
                <w:rFonts w:ascii="Arial" w:hAnsi="Arial" w:cs="Arial"/>
                <w:b/>
                <w:color w:val="0070C0"/>
                <w:lang w:val="en-US"/>
              </w:rPr>
              <w:t xml:space="preserve"> concentration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>s</w:t>
            </w:r>
          </w:p>
          <w:p w:rsidR="00A555A1" w:rsidRDefault="0032238E" w:rsidP="00A555A1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FA classes (SAFA, B</w:t>
            </w:r>
            <w:r w:rsidR="000B79A5">
              <w:rPr>
                <w:rFonts w:ascii="Arial" w:hAnsi="Arial" w:cs="Arial"/>
                <w:b/>
                <w:color w:val="0070C0"/>
                <w:lang w:val="en-US"/>
              </w:rPr>
              <w:t>ACT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, PUFA, MUFA) </w:t>
            </w:r>
            <w:r w:rsidR="003A6264">
              <w:rPr>
                <w:rFonts w:ascii="Arial" w:hAnsi="Arial" w:cs="Arial"/>
                <w:b/>
                <w:color w:val="0070C0"/>
                <w:lang w:val="en-US"/>
              </w:rPr>
              <w:t>concentrations</w:t>
            </w:r>
          </w:p>
          <w:p w:rsidR="003A6264" w:rsidRPr="00A555A1" w:rsidRDefault="000B79A5" w:rsidP="000B79A5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 w:rsidRPr="000B79A5">
              <w:rPr>
                <w:rFonts w:ascii="Arial" w:hAnsi="Arial" w:cs="Arial"/>
                <w:b/>
                <w:color w:val="0070C0"/>
                <w:lang w:val="en-US"/>
              </w:rPr>
              <w:t>EPA (20:5n-3) and DHA (22:6n-3)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 w:rsidR="003A6264" w:rsidRPr="003A6264">
              <w:rPr>
                <w:rFonts w:ascii="Arial" w:hAnsi="Arial" w:cs="Arial"/>
                <w:b/>
                <w:color w:val="0070C0"/>
                <w:lang w:val="en-US"/>
              </w:rPr>
              <w:t>concentrations</w:t>
            </w:r>
          </w:p>
          <w:p w:rsidR="00A555A1" w:rsidRPr="00A555A1" w:rsidRDefault="0032238E" w:rsidP="00A555A1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FA</w:t>
            </w:r>
            <w:r w:rsidR="003E21D4">
              <w:rPr>
                <w:rFonts w:ascii="Arial" w:hAnsi="Arial" w:cs="Arial"/>
                <w:b/>
                <w:color w:val="0070C0"/>
                <w:lang w:val="en-US"/>
              </w:rPr>
              <w:t xml:space="preserve"> production</w:t>
            </w:r>
          </w:p>
          <w:p w:rsidR="00B95F85" w:rsidRPr="00B95F85" w:rsidRDefault="00A555A1" w:rsidP="00A555A1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 w:rsidRPr="00A555A1">
              <w:rPr>
                <w:rFonts w:ascii="Arial" w:hAnsi="Arial" w:cs="Arial"/>
                <w:b/>
                <w:color w:val="0070C0"/>
                <w:lang w:val="en-US"/>
              </w:rPr>
              <w:t>Taxonomy</w:t>
            </w:r>
            <w:r w:rsidR="003A6264"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 w:rsidR="00390C4D">
              <w:rPr>
                <w:rFonts w:ascii="Arial" w:hAnsi="Arial" w:cs="Arial"/>
                <w:b/>
                <w:color w:val="0070C0"/>
                <w:lang w:val="en-US"/>
              </w:rPr>
              <w:t>of microzooplankton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50695D" w:rsidRDefault="0050695D" w:rsidP="0050695D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50695D" w:rsidRPr="0050695D" w:rsidRDefault="0050695D" w:rsidP="0050695D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50695D">
        <w:rPr>
          <w:rFonts w:ascii="Arial" w:hAnsi="Arial" w:cs="Arial"/>
        </w:rPr>
        <w:t>Address:</w:t>
      </w:r>
      <w:r w:rsidRPr="0050695D">
        <w:rPr>
          <w:rFonts w:ascii="Arial" w:hAnsi="Arial" w:cs="Arial"/>
        </w:rPr>
        <w:tab/>
      </w:r>
      <w:r w:rsidRPr="0050695D">
        <w:rPr>
          <w:rFonts w:ascii="Arial" w:hAnsi="Arial" w:cs="Arial"/>
          <w:b/>
        </w:rPr>
        <w:t>Mediterranean Institute of Oceanolography</w:t>
      </w:r>
    </w:p>
    <w:p w:rsidR="0050695D" w:rsidRPr="00DD78A1" w:rsidRDefault="0050695D" w:rsidP="0050695D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50695D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50695D" w:rsidRPr="00DD78A1" w:rsidRDefault="0050695D" w:rsidP="0050695D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50695D" w:rsidRPr="00DD78A1" w:rsidRDefault="0050695D" w:rsidP="0050695D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50695D" w:rsidRPr="00DD78A1" w:rsidRDefault="0050695D" w:rsidP="0050695D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50695D" w:rsidRDefault="0050695D" w:rsidP="0050695D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014568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014568">
        <w:rPr>
          <w:rFonts w:ascii="Arial" w:hAnsi="Arial" w:cs="Arial"/>
          <w:b/>
          <w:lang w:val="en-US"/>
        </w:rPr>
        <w:t xml:space="preserve">66650 Banyuls sur mer, </w:t>
      </w:r>
      <w:r w:rsidR="00DD78A1" w:rsidRPr="00014568">
        <w:rPr>
          <w:rFonts w:ascii="Arial" w:hAnsi="Arial" w:cs="Arial"/>
          <w:b/>
          <w:lang w:val="en-US"/>
        </w:rPr>
        <w:t>France</w:t>
      </w:r>
    </w:p>
    <w:p w:rsidR="00DD78A1" w:rsidRPr="00014568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B936C4" w:rsidRDefault="00DD78A1" w:rsidP="00DD78A1">
      <w:pPr>
        <w:ind w:left="2410" w:hanging="2410"/>
        <w:rPr>
          <w:rFonts w:ascii="Arial" w:hAnsi="Arial" w:cs="Arial"/>
        </w:rPr>
      </w:pPr>
      <w:r w:rsidRPr="00B936C4">
        <w:rPr>
          <w:rFonts w:ascii="Arial" w:hAnsi="Arial" w:cs="Arial"/>
        </w:rPr>
        <w:t>Parameter supervisor:</w:t>
      </w:r>
      <w:r w:rsidRPr="00B936C4">
        <w:rPr>
          <w:rFonts w:ascii="Arial" w:hAnsi="Arial" w:cs="Arial"/>
        </w:rPr>
        <w:tab/>
      </w:r>
      <w:r w:rsidR="00A555A1" w:rsidRPr="00B936C4">
        <w:rPr>
          <w:rFonts w:ascii="Arial" w:eastAsia="Arial Unicode MS" w:hAnsi="Arial" w:cs="Arial"/>
          <w:b/>
          <w:color w:val="0070C0"/>
        </w:rPr>
        <w:t>Marine Remize</w:t>
      </w:r>
    </w:p>
    <w:p w:rsidR="00A555A1" w:rsidRDefault="00A555A1" w:rsidP="00DD78A1">
      <w:pPr>
        <w:ind w:left="2410"/>
        <w:rPr>
          <w:rFonts w:ascii="Arial" w:eastAsia="Arial Unicode MS" w:hAnsi="Arial" w:cs="Arial"/>
        </w:rPr>
      </w:pPr>
      <w:r w:rsidRPr="00A555A1">
        <w:rPr>
          <w:rFonts w:ascii="Arial" w:eastAsia="Arial Unicode MS" w:hAnsi="Arial" w:cs="Arial"/>
        </w:rPr>
        <w:t>Institut Universitaire Européen de la Mer</w:t>
      </w:r>
    </w:p>
    <w:p w:rsidR="00A555A1" w:rsidRDefault="00A555A1" w:rsidP="00DD78A1">
      <w:pPr>
        <w:ind w:left="2410"/>
        <w:rPr>
          <w:rFonts w:ascii="Arial" w:eastAsia="Arial Unicode MS" w:hAnsi="Arial" w:cs="Arial"/>
        </w:rPr>
      </w:pPr>
      <w:r w:rsidRPr="00A555A1">
        <w:rPr>
          <w:rFonts w:ascii="Arial" w:eastAsia="Arial Unicode MS" w:hAnsi="Arial" w:cs="Arial"/>
        </w:rPr>
        <w:t>Rue Dumont d’Urville</w:t>
      </w:r>
    </w:p>
    <w:p w:rsidR="00A555A1" w:rsidRDefault="00A555A1" w:rsidP="00DD78A1">
      <w:pPr>
        <w:ind w:left="2410"/>
        <w:rPr>
          <w:rFonts w:ascii="Arial" w:eastAsia="Arial Unicode MS" w:hAnsi="Arial" w:cs="Arial"/>
        </w:rPr>
      </w:pPr>
      <w:r w:rsidRPr="00A555A1">
        <w:rPr>
          <w:rFonts w:ascii="Arial" w:eastAsia="Arial Unicode MS" w:hAnsi="Arial" w:cs="Arial"/>
        </w:rPr>
        <w:t>29280 P</w:t>
      </w:r>
      <w:r>
        <w:rPr>
          <w:rFonts w:ascii="Arial" w:eastAsia="Arial Unicode MS" w:hAnsi="Arial" w:cs="Arial"/>
        </w:rPr>
        <w:t>louzané, France</w:t>
      </w:r>
    </w:p>
    <w:p w:rsidR="00DD78A1" w:rsidRPr="00A555A1" w:rsidRDefault="00A555A1" w:rsidP="00DD78A1">
      <w:pPr>
        <w:ind w:left="2410"/>
        <w:rPr>
          <w:rFonts w:ascii="Arial" w:hAnsi="Arial" w:cs="Arial"/>
        </w:rPr>
      </w:pPr>
      <w:r w:rsidRPr="00A555A1">
        <w:rPr>
          <w:rFonts w:ascii="Arial" w:eastAsia="Arial Unicode MS" w:hAnsi="Arial" w:cs="Arial"/>
        </w:rPr>
        <w:t xml:space="preserve"> </w:t>
      </w:r>
      <w:r w:rsidR="00DD78A1" w:rsidRPr="00A555A1">
        <w:rPr>
          <w:rFonts w:ascii="Arial" w:eastAsia="Arial Unicode MS" w:hAnsi="Arial" w:cs="Arial"/>
        </w:rPr>
        <w:t xml:space="preserve">+33 (0)6 </w:t>
      </w:r>
      <w:r w:rsidRPr="00A555A1">
        <w:rPr>
          <w:rFonts w:ascii="Arial" w:eastAsia="Arial Unicode MS" w:hAnsi="Arial" w:cs="Arial"/>
        </w:rPr>
        <w:t>76 50 68 48</w:t>
      </w:r>
    </w:p>
    <w:p w:rsidR="00DD78A1" w:rsidRDefault="00DD39EB" w:rsidP="00DD78A1">
      <w:pPr>
        <w:ind w:left="2410"/>
        <w:rPr>
          <w:rFonts w:ascii="Arial" w:hAnsi="Arial" w:cs="Arial"/>
        </w:rPr>
      </w:pPr>
      <w:hyperlink r:id="rId9" w:history="1">
        <w:r w:rsidR="00A555A1" w:rsidRPr="00B3682F">
          <w:rPr>
            <w:rStyle w:val="Lienhypertexte"/>
            <w:rFonts w:ascii="Arial" w:eastAsia="Arial Unicode MS" w:hAnsi="Arial" w:cs="Arial"/>
          </w:rPr>
          <w:t>marine.remize@univ-brest.fr</w:t>
        </w:r>
      </w:hyperlink>
      <w:r w:rsidR="00A555A1">
        <w:rPr>
          <w:rFonts w:ascii="Arial" w:eastAsia="Arial Unicode MS" w:hAnsi="Arial" w:cs="Arial"/>
        </w:rPr>
        <w:t xml:space="preserve">, </w:t>
      </w:r>
      <w:hyperlink r:id="rId10" w:history="1">
        <w:r w:rsidR="00A555A1" w:rsidRPr="00B3682F">
          <w:rPr>
            <w:rStyle w:val="Lienhypertexte"/>
            <w:rFonts w:ascii="Arial" w:hAnsi="Arial" w:cs="Arial"/>
          </w:rPr>
          <w:t>marine.rem@hotmail.fr</w:t>
        </w:r>
      </w:hyperlink>
    </w:p>
    <w:p w:rsidR="00DD78A1" w:rsidRPr="00A555A1" w:rsidRDefault="00DD78A1" w:rsidP="00DD78A1">
      <w:pPr>
        <w:ind w:left="1843"/>
        <w:rPr>
          <w:rFonts w:ascii="Arial" w:hAnsi="Arial" w:cs="Arial"/>
        </w:rPr>
      </w:pPr>
    </w:p>
    <w:p w:rsidR="00A555A1" w:rsidRPr="00A555A1" w:rsidRDefault="00DD78A1" w:rsidP="00A555A1">
      <w:pPr>
        <w:ind w:left="2410" w:hanging="2410"/>
        <w:rPr>
          <w:rFonts w:ascii="Arial" w:hAnsi="Arial" w:cs="Arial"/>
        </w:rPr>
      </w:pPr>
      <w:r w:rsidRPr="00A555A1">
        <w:rPr>
          <w:rFonts w:ascii="Arial" w:hAnsi="Arial" w:cs="Arial"/>
        </w:rPr>
        <w:t>Dataset contact:</w:t>
      </w:r>
      <w:r w:rsidRPr="00A555A1">
        <w:rPr>
          <w:rFonts w:ascii="Arial" w:hAnsi="Arial" w:cs="Arial"/>
        </w:rPr>
        <w:tab/>
      </w:r>
      <w:r w:rsidR="00A555A1" w:rsidRPr="00A555A1">
        <w:rPr>
          <w:rFonts w:ascii="Arial" w:eastAsia="Arial Unicode MS" w:hAnsi="Arial" w:cs="Arial"/>
          <w:b/>
          <w:color w:val="0070C0"/>
        </w:rPr>
        <w:t>Marine Remize</w:t>
      </w:r>
    </w:p>
    <w:p w:rsidR="00A555A1" w:rsidRDefault="00A555A1" w:rsidP="00A555A1">
      <w:pPr>
        <w:ind w:left="2410"/>
        <w:rPr>
          <w:rFonts w:ascii="Arial" w:eastAsia="Arial Unicode MS" w:hAnsi="Arial" w:cs="Arial"/>
        </w:rPr>
      </w:pPr>
      <w:r w:rsidRPr="00A555A1">
        <w:rPr>
          <w:rFonts w:ascii="Arial" w:eastAsia="Arial Unicode MS" w:hAnsi="Arial" w:cs="Arial"/>
        </w:rPr>
        <w:t>Institut Universitaire Européen de la Mer</w:t>
      </w:r>
    </w:p>
    <w:p w:rsidR="00A555A1" w:rsidRDefault="00A555A1" w:rsidP="00A555A1">
      <w:pPr>
        <w:ind w:left="2410"/>
        <w:rPr>
          <w:rFonts w:ascii="Arial" w:eastAsia="Arial Unicode MS" w:hAnsi="Arial" w:cs="Arial"/>
        </w:rPr>
      </w:pPr>
      <w:r w:rsidRPr="00A555A1">
        <w:rPr>
          <w:rFonts w:ascii="Arial" w:eastAsia="Arial Unicode MS" w:hAnsi="Arial" w:cs="Arial"/>
        </w:rPr>
        <w:t>Rue Dumont d’Urville</w:t>
      </w:r>
    </w:p>
    <w:p w:rsidR="00A555A1" w:rsidRDefault="00A555A1" w:rsidP="00A555A1">
      <w:pPr>
        <w:ind w:left="2410"/>
        <w:rPr>
          <w:rFonts w:ascii="Arial" w:eastAsia="Arial Unicode MS" w:hAnsi="Arial" w:cs="Arial"/>
        </w:rPr>
      </w:pPr>
      <w:r w:rsidRPr="00A555A1">
        <w:rPr>
          <w:rFonts w:ascii="Arial" w:eastAsia="Arial Unicode MS" w:hAnsi="Arial" w:cs="Arial"/>
        </w:rPr>
        <w:t>29280 P</w:t>
      </w:r>
      <w:r>
        <w:rPr>
          <w:rFonts w:ascii="Arial" w:eastAsia="Arial Unicode MS" w:hAnsi="Arial" w:cs="Arial"/>
        </w:rPr>
        <w:t>louzané, France</w:t>
      </w:r>
    </w:p>
    <w:p w:rsidR="00A555A1" w:rsidRPr="00A555A1" w:rsidRDefault="00A555A1" w:rsidP="00A555A1">
      <w:pPr>
        <w:ind w:left="2410"/>
        <w:rPr>
          <w:rFonts w:ascii="Arial" w:hAnsi="Arial" w:cs="Arial"/>
        </w:rPr>
      </w:pPr>
      <w:r w:rsidRPr="00A555A1">
        <w:rPr>
          <w:rFonts w:ascii="Arial" w:eastAsia="Arial Unicode MS" w:hAnsi="Arial" w:cs="Arial"/>
        </w:rPr>
        <w:t xml:space="preserve"> +33 (0)6 76 50 68 48</w:t>
      </w:r>
    </w:p>
    <w:p w:rsidR="002F5641" w:rsidRDefault="00DD39EB" w:rsidP="00A555A1">
      <w:pPr>
        <w:ind w:left="2410"/>
        <w:rPr>
          <w:rFonts w:ascii="Arial" w:hAnsi="Arial" w:cs="Arial"/>
        </w:rPr>
        <w:sectPr w:rsidR="002F5641" w:rsidSect="00014568">
          <w:headerReference w:type="first" r:id="rId11"/>
          <w:pgSz w:w="11900" w:h="16840"/>
          <w:pgMar w:top="1613" w:right="1269" w:bottom="1417" w:left="1417" w:header="447" w:footer="708" w:gutter="0"/>
          <w:cols w:space="708"/>
          <w:titlePg/>
          <w:docGrid w:linePitch="360"/>
        </w:sectPr>
      </w:pPr>
      <w:hyperlink r:id="rId12" w:history="1">
        <w:r w:rsidR="00A555A1" w:rsidRPr="00B3682F">
          <w:rPr>
            <w:rStyle w:val="Lienhypertexte"/>
            <w:rFonts w:ascii="Arial" w:eastAsia="Arial Unicode MS" w:hAnsi="Arial" w:cs="Arial"/>
          </w:rPr>
          <w:t>marine.remize@univ-brest.fr</w:t>
        </w:r>
      </w:hyperlink>
      <w:r w:rsidR="00A555A1">
        <w:rPr>
          <w:rFonts w:ascii="Arial" w:eastAsia="Arial Unicode MS" w:hAnsi="Arial" w:cs="Arial"/>
        </w:rPr>
        <w:t xml:space="preserve">, </w:t>
      </w:r>
      <w:hyperlink r:id="rId13" w:history="1">
        <w:r w:rsidR="00A555A1" w:rsidRPr="00B3682F">
          <w:rPr>
            <w:rStyle w:val="Lienhypertexte"/>
            <w:rFonts w:ascii="Arial" w:hAnsi="Arial" w:cs="Arial"/>
          </w:rPr>
          <w:t>marine.rem@hotmail.fr</w:t>
        </w:r>
      </w:hyperlink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Default="002512B0" w:rsidP="00EC4908">
      <w:pPr>
        <w:pStyle w:val="Paragraphestandard"/>
      </w:pPr>
      <w:r>
        <w:t xml:space="preserve">Samples were obtained from In Situ Pumps (ISP) and </w:t>
      </w:r>
      <w:r w:rsidR="003A6264">
        <w:t>CTD-</w:t>
      </w:r>
      <w:r>
        <w:t xml:space="preserve">rosette </w:t>
      </w:r>
      <w:r w:rsidR="003A6264">
        <w:t xml:space="preserve">NISKIN </w:t>
      </w:r>
      <w:r>
        <w:t>bottles from 'OMICS' and 'NCP' casts</w:t>
      </w:r>
      <w:r w:rsidR="00EC4908" w:rsidRPr="00EC4908">
        <w:t>.</w:t>
      </w:r>
    </w:p>
    <w:p w:rsidR="003D2B75" w:rsidRPr="00EC4908" w:rsidRDefault="003D2B75" w:rsidP="003D2B75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Parameters and sampling devices used</w:t>
      </w:r>
    </w:p>
    <w:tbl>
      <w:tblPr>
        <w:tblW w:w="6663" w:type="dxa"/>
        <w:jc w:val="center"/>
        <w:tblBorders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395"/>
        <w:gridCol w:w="2268"/>
      </w:tblGrid>
      <w:tr w:rsidR="003D2B75" w:rsidRPr="003A6264" w:rsidTr="003D2B75">
        <w:trPr>
          <w:trHeight w:val="397"/>
          <w:jc w:val="center"/>
        </w:trPr>
        <w:tc>
          <w:tcPr>
            <w:tcW w:w="4395" w:type="dxa"/>
            <w:tcBorders>
              <w:bottom w:val="single" w:sz="8" w:space="0" w:color="FFFFFF"/>
            </w:tcBorders>
            <w:shd w:val="clear" w:color="auto" w:fill="4F81BD"/>
            <w:vAlign w:val="center"/>
          </w:tcPr>
          <w:p w:rsidR="003D2B75" w:rsidRPr="003A6264" w:rsidRDefault="003D2B75" w:rsidP="003D2B75">
            <w:pPr>
              <w:jc w:val="center"/>
              <w:rPr>
                <w:rFonts w:cstheme="minorHAnsi"/>
                <w:b/>
                <w:snapToGrid w:val="0"/>
                <w:color w:val="FFFFFF"/>
                <w:sz w:val="21"/>
                <w:lang w:val="en-US"/>
              </w:rPr>
            </w:pPr>
            <w:r w:rsidRPr="003A6264">
              <w:rPr>
                <w:rFonts w:cstheme="minorHAnsi"/>
                <w:b/>
                <w:snapToGrid w:val="0"/>
                <w:color w:val="FFFFFF"/>
                <w:sz w:val="21"/>
                <w:lang w:val="en-US"/>
              </w:rPr>
              <w:t>Parameter</w:t>
            </w:r>
          </w:p>
        </w:tc>
        <w:tc>
          <w:tcPr>
            <w:tcW w:w="2268" w:type="dxa"/>
            <w:tcBorders>
              <w:bottom w:val="single" w:sz="8" w:space="0" w:color="FFFFFF"/>
            </w:tcBorders>
            <w:shd w:val="clear" w:color="auto" w:fill="4F81BD"/>
            <w:vAlign w:val="center"/>
          </w:tcPr>
          <w:p w:rsidR="003D2B75" w:rsidRPr="003A6264" w:rsidRDefault="003D2B75" w:rsidP="003D2B75">
            <w:pPr>
              <w:jc w:val="center"/>
              <w:rPr>
                <w:rFonts w:cstheme="minorHAnsi"/>
                <w:b/>
                <w:snapToGrid w:val="0"/>
                <w:color w:val="FFFFFF"/>
                <w:sz w:val="21"/>
                <w:lang w:val="en-US"/>
              </w:rPr>
            </w:pPr>
            <w:r w:rsidRPr="003A6264">
              <w:rPr>
                <w:rFonts w:cstheme="minorHAnsi"/>
                <w:b/>
                <w:snapToGrid w:val="0"/>
                <w:color w:val="FFFFFF"/>
                <w:sz w:val="21"/>
                <w:lang w:val="en-US"/>
              </w:rPr>
              <w:t>code of operation</w:t>
            </w:r>
          </w:p>
        </w:tc>
      </w:tr>
      <w:tr w:rsidR="003D2B75" w:rsidRPr="003D2B75" w:rsidTr="003D2B75">
        <w:tblPrEx>
          <w:shd w:val="clear" w:color="auto" w:fill="CED7E7"/>
        </w:tblPrEx>
        <w:trPr>
          <w:trHeight w:val="397"/>
          <w:jc w:val="center"/>
        </w:trPr>
        <w:tc>
          <w:tcPr>
            <w:tcW w:w="4395" w:type="dxa"/>
            <w:tcBorders>
              <w:top w:val="single" w:sz="8" w:space="0" w:color="FFFFFF"/>
            </w:tcBorders>
            <w:shd w:val="clear" w:color="auto" w:fill="CED7E7"/>
            <w:vAlign w:val="center"/>
          </w:tcPr>
          <w:p w:rsidR="003D2B75" w:rsidRPr="0032238E" w:rsidRDefault="0032238E" w:rsidP="003D2B75">
            <w:pPr>
              <w:rPr>
                <w:rFonts w:cstheme="minorHAnsi"/>
                <w:snapToGrid w:val="0"/>
                <w:color w:val="000000"/>
                <w:sz w:val="21"/>
                <w:lang w:val="en-US"/>
              </w:rPr>
            </w:pPr>
            <w:r w:rsidRPr="0032238E">
              <w:rPr>
                <w:rFonts w:cstheme="minorHAnsi"/>
                <w:snapToGrid w:val="0"/>
                <w:color w:val="000000"/>
                <w:sz w:val="21"/>
                <w:lang w:val="en-US"/>
              </w:rPr>
              <w:t>Total Fatty Acids (FA) concentrations</w:t>
            </w:r>
            <w:r w:rsidR="003D2B75" w:rsidRPr="0032238E">
              <w:rPr>
                <w:rFonts w:cstheme="minorHAnsi"/>
                <w:snapToGrid w:val="0"/>
                <w:color w:val="000000"/>
                <w:sz w:val="21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FFFFF"/>
            </w:tcBorders>
            <w:shd w:val="clear" w:color="auto" w:fill="CED7E7"/>
            <w:vAlign w:val="center"/>
          </w:tcPr>
          <w:p w:rsidR="003D2B75" w:rsidRPr="003D2B75" w:rsidRDefault="003D2B75" w:rsidP="003D2B75">
            <w:pPr>
              <w:rPr>
                <w:rFonts w:cstheme="minorHAnsi"/>
                <w:snapToGrid w:val="0"/>
                <w:color w:val="000000"/>
                <w:sz w:val="21"/>
              </w:rPr>
            </w:pPr>
            <w:r w:rsidRPr="003A6264">
              <w:rPr>
                <w:rFonts w:cstheme="minorHAnsi"/>
                <w:snapToGrid w:val="0"/>
                <w:color w:val="000000"/>
                <w:sz w:val="21"/>
                <w:lang w:val="en-US"/>
              </w:rPr>
              <w:t>ISP, CTD_OMI</w:t>
            </w:r>
            <w:r w:rsidRPr="003D2B75">
              <w:rPr>
                <w:rFonts w:cstheme="minorHAnsi"/>
                <w:snapToGrid w:val="0"/>
                <w:color w:val="000000"/>
                <w:sz w:val="21"/>
              </w:rPr>
              <w:t>CS_P</w:t>
            </w:r>
          </w:p>
        </w:tc>
      </w:tr>
      <w:tr w:rsidR="003D2B75" w:rsidRPr="003D2B75" w:rsidTr="003D2B75">
        <w:tblPrEx>
          <w:shd w:val="clear" w:color="auto" w:fill="CED7E7"/>
        </w:tblPrEx>
        <w:trPr>
          <w:trHeight w:val="397"/>
          <w:jc w:val="center"/>
        </w:trPr>
        <w:tc>
          <w:tcPr>
            <w:tcW w:w="4395" w:type="dxa"/>
            <w:shd w:val="clear" w:color="auto" w:fill="E8ECF3"/>
            <w:vAlign w:val="center"/>
          </w:tcPr>
          <w:p w:rsidR="003D2B75" w:rsidRPr="0032238E" w:rsidRDefault="0032238E" w:rsidP="0032238E">
            <w:pPr>
              <w:rPr>
                <w:rFonts w:cstheme="minorHAnsi"/>
                <w:snapToGrid w:val="0"/>
                <w:color w:val="000000"/>
                <w:sz w:val="21"/>
                <w:lang w:val="en-US"/>
              </w:rPr>
            </w:pPr>
            <w:r w:rsidRPr="0032238E">
              <w:rPr>
                <w:rFonts w:cstheme="minorHAnsi"/>
                <w:snapToGrid w:val="0"/>
                <w:color w:val="000000"/>
                <w:sz w:val="21"/>
                <w:lang w:val="en-US"/>
              </w:rPr>
              <w:t>Neutral and Polar FA concentrations</w:t>
            </w:r>
          </w:p>
        </w:tc>
        <w:tc>
          <w:tcPr>
            <w:tcW w:w="2268" w:type="dxa"/>
            <w:shd w:val="clear" w:color="auto" w:fill="E8ECF3"/>
            <w:vAlign w:val="center"/>
          </w:tcPr>
          <w:p w:rsidR="003D2B75" w:rsidRPr="003D2B75" w:rsidRDefault="003D2B75" w:rsidP="003D2B75">
            <w:pPr>
              <w:rPr>
                <w:rFonts w:cstheme="minorHAnsi"/>
                <w:snapToGrid w:val="0"/>
                <w:color w:val="000000"/>
                <w:sz w:val="21"/>
              </w:rPr>
            </w:pPr>
            <w:r w:rsidRPr="003D2B75">
              <w:rPr>
                <w:rFonts w:cstheme="minorHAnsi"/>
                <w:snapToGrid w:val="0"/>
                <w:color w:val="000000"/>
                <w:sz w:val="21"/>
              </w:rPr>
              <w:t>ISP, CTD_OMICS_P</w:t>
            </w:r>
          </w:p>
        </w:tc>
      </w:tr>
      <w:tr w:rsidR="003D2B75" w:rsidRPr="003D2B75" w:rsidTr="003D2B75">
        <w:tblPrEx>
          <w:shd w:val="clear" w:color="auto" w:fill="CED7E7"/>
        </w:tblPrEx>
        <w:trPr>
          <w:trHeight w:val="397"/>
          <w:jc w:val="center"/>
        </w:trPr>
        <w:tc>
          <w:tcPr>
            <w:tcW w:w="4395" w:type="dxa"/>
            <w:shd w:val="clear" w:color="auto" w:fill="CED7E7"/>
            <w:vAlign w:val="center"/>
          </w:tcPr>
          <w:p w:rsidR="003D2B75" w:rsidRPr="003D2B75" w:rsidRDefault="0032238E" w:rsidP="00AF6C9A">
            <w:pPr>
              <w:rPr>
                <w:rFonts w:cstheme="minorHAnsi"/>
                <w:snapToGrid w:val="0"/>
                <w:color w:val="000000"/>
                <w:sz w:val="21"/>
              </w:rPr>
            </w:pPr>
            <w:r w:rsidRPr="0032238E">
              <w:rPr>
                <w:rFonts w:cstheme="minorHAnsi"/>
                <w:snapToGrid w:val="0"/>
                <w:color w:val="000000"/>
                <w:sz w:val="21"/>
              </w:rPr>
              <w:t>FA classes (SAFA</w:t>
            </w:r>
            <w:r w:rsidR="00AF6C9A">
              <w:rPr>
                <w:rFonts w:cstheme="minorHAnsi"/>
                <w:snapToGrid w:val="0"/>
                <w:color w:val="000000"/>
                <w:sz w:val="21"/>
              </w:rPr>
              <w:t>s</w:t>
            </w:r>
            <w:r w:rsidRPr="0032238E">
              <w:rPr>
                <w:rFonts w:cstheme="minorHAnsi"/>
                <w:snapToGrid w:val="0"/>
                <w:color w:val="000000"/>
                <w:sz w:val="21"/>
              </w:rPr>
              <w:t>, B</w:t>
            </w:r>
            <w:r w:rsidR="00AF6C9A">
              <w:rPr>
                <w:rFonts w:cstheme="minorHAnsi"/>
                <w:snapToGrid w:val="0"/>
                <w:color w:val="000000"/>
                <w:sz w:val="21"/>
              </w:rPr>
              <w:t>ACTs</w:t>
            </w:r>
            <w:r w:rsidRPr="0032238E">
              <w:rPr>
                <w:rFonts w:cstheme="minorHAnsi"/>
                <w:snapToGrid w:val="0"/>
                <w:color w:val="000000"/>
                <w:sz w:val="21"/>
              </w:rPr>
              <w:t>, PUFA</w:t>
            </w:r>
            <w:r w:rsidR="00AF6C9A">
              <w:rPr>
                <w:rFonts w:cstheme="minorHAnsi"/>
                <w:snapToGrid w:val="0"/>
                <w:color w:val="000000"/>
                <w:sz w:val="21"/>
              </w:rPr>
              <w:t>s</w:t>
            </w:r>
            <w:r w:rsidRPr="0032238E">
              <w:rPr>
                <w:rFonts w:cstheme="minorHAnsi"/>
                <w:snapToGrid w:val="0"/>
                <w:color w:val="000000"/>
                <w:sz w:val="21"/>
              </w:rPr>
              <w:t>, MUFA</w:t>
            </w:r>
            <w:r w:rsidR="00AF6C9A">
              <w:rPr>
                <w:rFonts w:cstheme="minorHAnsi"/>
                <w:snapToGrid w:val="0"/>
                <w:color w:val="000000"/>
                <w:sz w:val="21"/>
              </w:rPr>
              <w:t>s</w:t>
            </w:r>
            <w:r w:rsidRPr="0032238E">
              <w:rPr>
                <w:rFonts w:cstheme="minorHAnsi"/>
                <w:snapToGrid w:val="0"/>
                <w:color w:val="000000"/>
                <w:sz w:val="21"/>
              </w:rPr>
              <w:t>)</w:t>
            </w:r>
            <w:r w:rsidR="003A6264">
              <w:rPr>
                <w:rFonts w:cstheme="minorHAnsi"/>
                <w:snapToGrid w:val="0"/>
                <w:color w:val="000000"/>
                <w:sz w:val="21"/>
              </w:rPr>
              <w:t xml:space="preserve"> </w:t>
            </w:r>
            <w:r w:rsidR="003A6264" w:rsidRPr="0032238E">
              <w:rPr>
                <w:rFonts w:cstheme="minorHAnsi"/>
                <w:snapToGrid w:val="0"/>
                <w:color w:val="000000"/>
                <w:sz w:val="21"/>
              </w:rPr>
              <w:t>concentrations</w:t>
            </w:r>
          </w:p>
        </w:tc>
        <w:tc>
          <w:tcPr>
            <w:tcW w:w="2268" w:type="dxa"/>
            <w:shd w:val="clear" w:color="auto" w:fill="CED7E7"/>
            <w:vAlign w:val="center"/>
          </w:tcPr>
          <w:p w:rsidR="003D2B75" w:rsidRPr="003D2B75" w:rsidRDefault="003D2B75" w:rsidP="003D2B75">
            <w:pPr>
              <w:rPr>
                <w:rFonts w:cstheme="minorHAnsi"/>
                <w:snapToGrid w:val="0"/>
                <w:color w:val="000000"/>
                <w:sz w:val="21"/>
              </w:rPr>
            </w:pPr>
            <w:r w:rsidRPr="003D2B75">
              <w:rPr>
                <w:rFonts w:cstheme="minorHAnsi"/>
                <w:snapToGrid w:val="0"/>
                <w:color w:val="000000"/>
                <w:sz w:val="21"/>
              </w:rPr>
              <w:t>ISP, CTD_OMICS_P</w:t>
            </w:r>
          </w:p>
        </w:tc>
      </w:tr>
      <w:tr w:rsidR="003A6264" w:rsidRPr="003D2B75" w:rsidTr="003D2B75">
        <w:tblPrEx>
          <w:shd w:val="clear" w:color="auto" w:fill="CED7E7"/>
        </w:tblPrEx>
        <w:trPr>
          <w:trHeight w:val="397"/>
          <w:jc w:val="center"/>
        </w:trPr>
        <w:tc>
          <w:tcPr>
            <w:tcW w:w="4395" w:type="dxa"/>
            <w:shd w:val="clear" w:color="auto" w:fill="E8ECF3"/>
            <w:vAlign w:val="center"/>
          </w:tcPr>
          <w:p w:rsidR="003A6264" w:rsidRDefault="000B79A5" w:rsidP="003D2B75">
            <w:pPr>
              <w:rPr>
                <w:rFonts w:cstheme="minorHAnsi"/>
                <w:snapToGrid w:val="0"/>
                <w:color w:val="000000"/>
                <w:sz w:val="21"/>
              </w:rPr>
            </w:pPr>
            <w:r w:rsidRPr="000B79A5">
              <w:rPr>
                <w:rFonts w:cstheme="minorHAnsi"/>
                <w:snapToGrid w:val="0"/>
                <w:color w:val="000000"/>
                <w:sz w:val="21"/>
              </w:rPr>
              <w:t>EPA (20:5n-3) and DHA (22:6n-3)</w:t>
            </w:r>
            <w:r>
              <w:rPr>
                <w:rFonts w:cstheme="minorHAnsi"/>
                <w:snapToGrid w:val="0"/>
                <w:color w:val="000000"/>
                <w:sz w:val="21"/>
              </w:rPr>
              <w:t xml:space="preserve"> </w:t>
            </w:r>
            <w:r w:rsidR="003A6264" w:rsidRPr="003A6264">
              <w:rPr>
                <w:rFonts w:cstheme="minorHAnsi"/>
                <w:snapToGrid w:val="0"/>
                <w:color w:val="000000"/>
                <w:sz w:val="21"/>
              </w:rPr>
              <w:t>concentrations</w:t>
            </w:r>
          </w:p>
        </w:tc>
        <w:tc>
          <w:tcPr>
            <w:tcW w:w="2268" w:type="dxa"/>
            <w:shd w:val="clear" w:color="auto" w:fill="E8ECF3"/>
            <w:vAlign w:val="center"/>
          </w:tcPr>
          <w:p w:rsidR="003A6264" w:rsidRPr="003D2B75" w:rsidRDefault="003A6264" w:rsidP="003D2B75">
            <w:pPr>
              <w:rPr>
                <w:rFonts w:cstheme="minorHAnsi"/>
                <w:snapToGrid w:val="0"/>
                <w:color w:val="000000"/>
                <w:sz w:val="21"/>
              </w:rPr>
            </w:pPr>
            <w:r w:rsidRPr="003D2B75">
              <w:rPr>
                <w:rFonts w:cstheme="minorHAnsi"/>
                <w:snapToGrid w:val="0"/>
                <w:color w:val="000000"/>
                <w:sz w:val="21"/>
              </w:rPr>
              <w:t>ISP, CTD_OMICS_P</w:t>
            </w:r>
          </w:p>
        </w:tc>
      </w:tr>
      <w:tr w:rsidR="003D2B75" w:rsidRPr="003D2B75" w:rsidTr="003D2B75">
        <w:tblPrEx>
          <w:shd w:val="clear" w:color="auto" w:fill="CED7E7"/>
        </w:tblPrEx>
        <w:trPr>
          <w:trHeight w:val="397"/>
          <w:jc w:val="center"/>
        </w:trPr>
        <w:tc>
          <w:tcPr>
            <w:tcW w:w="4395" w:type="dxa"/>
            <w:shd w:val="clear" w:color="auto" w:fill="E8ECF3"/>
            <w:vAlign w:val="center"/>
          </w:tcPr>
          <w:p w:rsidR="003D2B75" w:rsidRPr="003D2B75" w:rsidRDefault="0032238E" w:rsidP="003E21D4">
            <w:pPr>
              <w:rPr>
                <w:rFonts w:cstheme="minorHAnsi"/>
                <w:snapToGrid w:val="0"/>
                <w:color w:val="000000"/>
                <w:sz w:val="21"/>
              </w:rPr>
            </w:pPr>
            <w:r>
              <w:rPr>
                <w:rFonts w:cstheme="minorHAnsi"/>
                <w:snapToGrid w:val="0"/>
                <w:color w:val="000000"/>
                <w:sz w:val="21"/>
              </w:rPr>
              <w:t>FA</w:t>
            </w:r>
            <w:r w:rsidR="003D2B75" w:rsidRPr="003D2B75">
              <w:rPr>
                <w:rFonts w:cstheme="minorHAnsi"/>
                <w:snapToGrid w:val="0"/>
                <w:color w:val="000000"/>
                <w:sz w:val="21"/>
              </w:rPr>
              <w:t xml:space="preserve"> production</w:t>
            </w:r>
          </w:p>
        </w:tc>
        <w:tc>
          <w:tcPr>
            <w:tcW w:w="2268" w:type="dxa"/>
            <w:shd w:val="clear" w:color="auto" w:fill="E8ECF3"/>
            <w:vAlign w:val="center"/>
          </w:tcPr>
          <w:p w:rsidR="003D2B75" w:rsidRPr="003D2B75" w:rsidRDefault="003D2B75" w:rsidP="003D2B75">
            <w:pPr>
              <w:rPr>
                <w:rFonts w:cstheme="minorHAnsi"/>
                <w:snapToGrid w:val="0"/>
                <w:color w:val="000000"/>
                <w:sz w:val="21"/>
              </w:rPr>
            </w:pPr>
            <w:r w:rsidRPr="003D2B75">
              <w:rPr>
                <w:rFonts w:cstheme="minorHAnsi"/>
                <w:snapToGrid w:val="0"/>
                <w:color w:val="000000"/>
                <w:sz w:val="21"/>
              </w:rPr>
              <w:t>CTD_NCP</w:t>
            </w:r>
          </w:p>
        </w:tc>
      </w:tr>
      <w:tr w:rsidR="003D2B75" w:rsidRPr="003D2B75" w:rsidTr="003D2B75">
        <w:tblPrEx>
          <w:shd w:val="clear" w:color="auto" w:fill="CED7E7"/>
        </w:tblPrEx>
        <w:trPr>
          <w:trHeight w:val="397"/>
          <w:jc w:val="center"/>
        </w:trPr>
        <w:tc>
          <w:tcPr>
            <w:tcW w:w="4395" w:type="dxa"/>
            <w:shd w:val="clear" w:color="auto" w:fill="E8ECF3"/>
            <w:vAlign w:val="center"/>
          </w:tcPr>
          <w:p w:rsidR="003D2B75" w:rsidRPr="003D2B75" w:rsidRDefault="003D2B75" w:rsidP="003D2B75">
            <w:pPr>
              <w:rPr>
                <w:rFonts w:cstheme="minorHAnsi"/>
                <w:snapToGrid w:val="0"/>
                <w:color w:val="000000"/>
                <w:sz w:val="21"/>
              </w:rPr>
            </w:pPr>
            <w:r w:rsidRPr="003D2B75">
              <w:rPr>
                <w:rFonts w:cstheme="minorHAnsi"/>
                <w:snapToGrid w:val="0"/>
                <w:color w:val="000000"/>
                <w:sz w:val="21"/>
              </w:rPr>
              <w:t xml:space="preserve">Taxonomy </w:t>
            </w:r>
            <w:r w:rsidR="004F47EF">
              <w:rPr>
                <w:rFonts w:cstheme="minorHAnsi"/>
                <w:snapToGrid w:val="0"/>
                <w:color w:val="000000"/>
                <w:sz w:val="21"/>
              </w:rPr>
              <w:t>of microzooplankton</w:t>
            </w:r>
          </w:p>
        </w:tc>
        <w:tc>
          <w:tcPr>
            <w:tcW w:w="2268" w:type="dxa"/>
            <w:shd w:val="clear" w:color="auto" w:fill="E8ECF3"/>
            <w:vAlign w:val="center"/>
          </w:tcPr>
          <w:p w:rsidR="003D2B75" w:rsidRPr="003D2B75" w:rsidRDefault="003D2B75" w:rsidP="003D2B75">
            <w:pPr>
              <w:rPr>
                <w:rFonts w:cstheme="minorHAnsi"/>
                <w:snapToGrid w:val="0"/>
                <w:color w:val="000000"/>
                <w:sz w:val="21"/>
              </w:rPr>
            </w:pPr>
            <w:r w:rsidRPr="003D2B75">
              <w:rPr>
                <w:rFonts w:cstheme="minorHAnsi"/>
                <w:snapToGrid w:val="0"/>
                <w:color w:val="000000"/>
                <w:sz w:val="21"/>
              </w:rPr>
              <w:t>ISP</w:t>
            </w:r>
          </w:p>
        </w:tc>
      </w:tr>
    </w:tbl>
    <w:p w:rsidR="009837EB" w:rsidRDefault="009837EB" w:rsidP="009837EB"/>
    <w:p w:rsidR="006460CD" w:rsidRDefault="006460CD" w:rsidP="006460CD">
      <w:pPr>
        <w:pStyle w:val="Titre2"/>
      </w:pPr>
      <w:r w:rsidRPr="002F5641">
        <w:t>List of stations sampled</w:t>
      </w:r>
    </w:p>
    <w:p w:rsidR="002512B0" w:rsidRPr="00EC4908" w:rsidRDefault="002512B0" w:rsidP="000F0645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</w:t>
      </w:r>
      <w:r w:rsidR="003D2B75">
        <w:rPr>
          <w:b/>
          <w:lang w:val="en-US"/>
        </w:rPr>
        <w:t>2</w:t>
      </w:r>
      <w:r w:rsidRPr="00EC4908">
        <w:rPr>
          <w:b/>
          <w:lang w:val="en-US"/>
        </w:rPr>
        <w:t xml:space="preserve"> : </w:t>
      </w:r>
      <w:r>
        <w:rPr>
          <w:b/>
          <w:lang w:val="en-US"/>
        </w:rPr>
        <w:t>Stations and casts where the parameters were sampled</w:t>
      </w:r>
    </w:p>
    <w:tbl>
      <w:tblPr>
        <w:tblW w:w="6389" w:type="dxa"/>
        <w:jc w:val="center"/>
        <w:tblBorders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189"/>
        <w:gridCol w:w="1240"/>
        <w:gridCol w:w="1399"/>
        <w:gridCol w:w="2561"/>
      </w:tblGrid>
      <w:tr w:rsidR="002512B0" w:rsidTr="000F0645">
        <w:trPr>
          <w:trHeight w:val="397"/>
          <w:jc w:val="center"/>
        </w:trPr>
        <w:tc>
          <w:tcPr>
            <w:tcW w:w="1189" w:type="dxa"/>
            <w:tcBorders>
              <w:top w:val="nil"/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Default="002512B0" w:rsidP="00105B87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Station ID</w:t>
            </w:r>
          </w:p>
        </w:tc>
        <w:tc>
          <w:tcPr>
            <w:tcW w:w="1240" w:type="dxa"/>
            <w:tcBorders>
              <w:top w:val="nil"/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Default="002512B0" w:rsidP="00105B87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ISP #</w:t>
            </w:r>
          </w:p>
        </w:tc>
        <w:tc>
          <w:tcPr>
            <w:tcW w:w="1399" w:type="dxa"/>
            <w:tcBorders>
              <w:top w:val="nil"/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Default="002512B0" w:rsidP="00105B87">
            <w:pPr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rosette cast #</w:t>
            </w:r>
          </w:p>
        </w:tc>
        <w:tc>
          <w:tcPr>
            <w:tcW w:w="2561" w:type="dxa"/>
            <w:tcBorders>
              <w:top w:val="nil"/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Default="002512B0" w:rsidP="00105B87">
            <w:pPr>
              <w:tabs>
                <w:tab w:val="left" w:pos="720"/>
                <w:tab w:val="left" w:pos="1440"/>
                <w:tab w:val="left" w:pos="216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Cast ID TG</w:t>
            </w:r>
          </w:p>
        </w:tc>
      </w:tr>
      <w:tr w:rsidR="002512B0" w:rsidRPr="002512B0" w:rsidTr="000F0645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M2-1</w:t>
            </w:r>
          </w:p>
        </w:tc>
        <w:tc>
          <w:tcPr>
            <w:tcW w:w="12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ISP001</w:t>
            </w:r>
          </w:p>
        </w:tc>
        <w:tc>
          <w:tcPr>
            <w:tcW w:w="139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CTD_008</w:t>
            </w:r>
          </w:p>
        </w:tc>
        <w:tc>
          <w:tcPr>
            <w:tcW w:w="256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CTD_003</w:t>
            </w:r>
          </w:p>
        </w:tc>
      </w:tr>
      <w:tr w:rsidR="002512B0" w:rsidRPr="002512B0" w:rsidTr="000F0645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M4-1</w:t>
            </w:r>
          </w:p>
        </w:tc>
        <w:tc>
          <w:tcPr>
            <w:tcW w:w="124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ISP002</w:t>
            </w:r>
          </w:p>
        </w:tc>
        <w:tc>
          <w:tcPr>
            <w:tcW w:w="1399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CTD_015</w:t>
            </w:r>
          </w:p>
        </w:tc>
        <w:tc>
          <w:tcPr>
            <w:tcW w:w="2561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CTD_015</w:t>
            </w:r>
          </w:p>
        </w:tc>
      </w:tr>
      <w:tr w:rsidR="002512B0" w:rsidRPr="002512B0" w:rsidTr="002512B0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M3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ISP003</w:t>
            </w:r>
          </w:p>
        </w:tc>
        <w:tc>
          <w:tcPr>
            <w:tcW w:w="139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CTD_024</w:t>
            </w:r>
          </w:p>
        </w:tc>
        <w:tc>
          <w:tcPr>
            <w:tcW w:w="25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CTD_020</w:t>
            </w:r>
          </w:p>
        </w:tc>
      </w:tr>
      <w:tr w:rsidR="002512B0" w:rsidRPr="002512B0" w:rsidTr="002512B0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M2-2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ISP004</w:t>
            </w:r>
          </w:p>
        </w:tc>
        <w:tc>
          <w:tcPr>
            <w:tcW w:w="139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CTD_032</w:t>
            </w:r>
          </w:p>
        </w:tc>
        <w:tc>
          <w:tcPr>
            <w:tcW w:w="25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CTD_034</w:t>
            </w:r>
          </w:p>
        </w:tc>
      </w:tr>
      <w:tr w:rsidR="002512B0" w:rsidRPr="002512B0" w:rsidTr="002512B0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M1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ISP005</w:t>
            </w:r>
          </w:p>
        </w:tc>
        <w:tc>
          <w:tcPr>
            <w:tcW w:w="139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CTD_040</w:t>
            </w:r>
          </w:p>
        </w:tc>
        <w:tc>
          <w:tcPr>
            <w:tcW w:w="25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CTD_037 / CTD_039</w:t>
            </w:r>
          </w:p>
        </w:tc>
      </w:tr>
      <w:tr w:rsidR="002512B0" w:rsidRPr="002512B0" w:rsidTr="002512B0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M4-2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ISP006</w:t>
            </w:r>
          </w:p>
        </w:tc>
        <w:tc>
          <w:tcPr>
            <w:tcW w:w="139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CTD_043</w:t>
            </w:r>
          </w:p>
        </w:tc>
        <w:tc>
          <w:tcPr>
            <w:tcW w:w="25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CTD_048</w:t>
            </w:r>
          </w:p>
        </w:tc>
      </w:tr>
      <w:tr w:rsidR="002512B0" w:rsidRPr="002512B0" w:rsidTr="002512B0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M2-3</w:t>
            </w:r>
          </w:p>
        </w:tc>
        <w:tc>
          <w:tcPr>
            <w:tcW w:w="124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ISP007</w:t>
            </w:r>
          </w:p>
        </w:tc>
        <w:tc>
          <w:tcPr>
            <w:tcW w:w="1399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CTD_054</w:t>
            </w:r>
          </w:p>
        </w:tc>
        <w:tc>
          <w:tcPr>
            <w:tcW w:w="2561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rFonts w:cs="Arial"/>
                <w:snapToGrid w:val="0"/>
                <w:color w:val="000000"/>
                <w:sz w:val="21"/>
              </w:rPr>
            </w:pPr>
            <w:r w:rsidRPr="002512B0">
              <w:rPr>
                <w:rFonts w:cs="Arial"/>
                <w:snapToGrid w:val="0"/>
                <w:color w:val="000000"/>
                <w:sz w:val="21"/>
              </w:rPr>
              <w:t>CTD_055</w:t>
            </w:r>
          </w:p>
        </w:tc>
      </w:tr>
      <w:tr w:rsidR="002512B0" w:rsidRPr="002512B0" w:rsidTr="002512B0">
        <w:tblPrEx>
          <w:shd w:val="clear" w:color="auto" w:fill="CED7E7"/>
        </w:tblPrEx>
        <w:trPr>
          <w:trHeight w:val="397"/>
          <w:jc w:val="center"/>
        </w:trPr>
        <w:tc>
          <w:tcPr>
            <w:tcW w:w="118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M3-3</w:t>
            </w:r>
          </w:p>
        </w:tc>
        <w:tc>
          <w:tcPr>
            <w:tcW w:w="1240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ISP008</w:t>
            </w:r>
          </w:p>
        </w:tc>
        <w:tc>
          <w:tcPr>
            <w:tcW w:w="1399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CTD_062</w:t>
            </w:r>
          </w:p>
        </w:tc>
        <w:tc>
          <w:tcPr>
            <w:tcW w:w="2561" w:type="dxa"/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512B0" w:rsidRPr="002512B0" w:rsidRDefault="002512B0" w:rsidP="002512B0">
            <w:pPr>
              <w:jc w:val="center"/>
              <w:rPr>
                <w:snapToGrid w:val="0"/>
                <w:color w:val="000000"/>
                <w:sz w:val="21"/>
              </w:rPr>
            </w:pPr>
            <w:r w:rsidRPr="002512B0">
              <w:rPr>
                <w:snapToGrid w:val="0"/>
                <w:color w:val="000000"/>
                <w:sz w:val="21"/>
              </w:rPr>
              <w:t>CTD_064</w:t>
            </w:r>
          </w:p>
        </w:tc>
      </w:tr>
    </w:tbl>
    <w:p w:rsidR="00EC4908" w:rsidRPr="00EC4908" w:rsidRDefault="00EC4908" w:rsidP="00EC4908">
      <w:pPr>
        <w:rPr>
          <w:lang w:val="en-US"/>
        </w:rPr>
      </w:pPr>
    </w:p>
    <w:p w:rsidR="00CE2744" w:rsidRDefault="0035228D" w:rsidP="00D0498F">
      <w:pPr>
        <w:pStyle w:val="Titre1"/>
      </w:pPr>
      <w:r>
        <w:t>INSTRUMENTS</w:t>
      </w:r>
    </w:p>
    <w:p w:rsidR="00085EA4" w:rsidRPr="003A6264" w:rsidRDefault="00D04B80" w:rsidP="00D04B80">
      <w:pPr>
        <w:pStyle w:val="Paragraphestandard"/>
        <w:numPr>
          <w:ilvl w:val="0"/>
          <w:numId w:val="23"/>
        </w:numPr>
        <w:ind w:left="284" w:hanging="284"/>
      </w:pPr>
      <w:r>
        <w:t>T</w:t>
      </w:r>
      <w:r w:rsidR="003A6264" w:rsidRPr="003A6264">
        <w:t xml:space="preserve">otal </w:t>
      </w:r>
      <w:r w:rsidR="00085EA4" w:rsidRPr="003A6264">
        <w:t xml:space="preserve">fatty acids </w:t>
      </w:r>
      <w:r w:rsidR="003A6264" w:rsidRPr="003A6264">
        <w:t>(FA) concentrations</w:t>
      </w:r>
      <w:r w:rsidR="00085EA4" w:rsidRPr="003A6264">
        <w:t xml:space="preserve">, </w:t>
      </w:r>
      <w:r w:rsidR="003A6264" w:rsidRPr="003A6264">
        <w:t xml:space="preserve">Neutral and Polar FA concentrations, </w:t>
      </w:r>
      <w:r w:rsidR="005251DA" w:rsidRPr="005251DA">
        <w:t>FA classes (SAFA</w:t>
      </w:r>
      <w:r w:rsidR="00AF6C9A">
        <w:t>s</w:t>
      </w:r>
      <w:r w:rsidR="005251DA" w:rsidRPr="005251DA">
        <w:t>, B</w:t>
      </w:r>
      <w:r w:rsidR="00AF6C9A">
        <w:t>ACts</w:t>
      </w:r>
      <w:r w:rsidR="005251DA" w:rsidRPr="005251DA">
        <w:t>, PUFA</w:t>
      </w:r>
      <w:r w:rsidR="00AF6C9A">
        <w:t>s</w:t>
      </w:r>
      <w:r w:rsidR="005251DA" w:rsidRPr="005251DA">
        <w:t>, MUFA</w:t>
      </w:r>
      <w:r w:rsidR="00AF6C9A">
        <w:t>s</w:t>
      </w:r>
      <w:r w:rsidR="005251DA" w:rsidRPr="005251DA">
        <w:t>) concentrations</w:t>
      </w:r>
      <w:r w:rsidR="005251DA">
        <w:t xml:space="preserve">, </w:t>
      </w:r>
      <w:r w:rsidR="000B79A5">
        <w:t xml:space="preserve">EPA </w:t>
      </w:r>
      <w:r w:rsidR="000B79A5" w:rsidRPr="000B79A5">
        <w:t>(20:5n-3</w:t>
      </w:r>
      <w:r w:rsidR="000B79A5">
        <w:t>)</w:t>
      </w:r>
      <w:r w:rsidR="000B79A5" w:rsidRPr="000B79A5">
        <w:t xml:space="preserve"> and </w:t>
      </w:r>
      <w:r w:rsidR="000B79A5">
        <w:t>DHA (</w:t>
      </w:r>
      <w:r w:rsidR="000B79A5" w:rsidRPr="000B79A5">
        <w:t>22:6n-3</w:t>
      </w:r>
      <w:r w:rsidR="000B79A5">
        <w:t>)</w:t>
      </w:r>
      <w:r w:rsidR="006F6DA0" w:rsidRPr="003A6264">
        <w:t>:</w:t>
      </w:r>
    </w:p>
    <w:p w:rsidR="00014568" w:rsidRPr="00014568" w:rsidRDefault="0035228D" w:rsidP="00014568">
      <w:pPr>
        <w:pStyle w:val="Paragraphestandard"/>
        <w:ind w:left="2410" w:hanging="1985"/>
        <w:rPr>
          <w:b/>
        </w:rPr>
      </w:pPr>
      <w:r w:rsidRPr="0035228D">
        <w:t>Instrument Type:</w:t>
      </w:r>
      <w:r>
        <w:tab/>
      </w:r>
      <w:r w:rsidR="00014568" w:rsidRPr="00014568">
        <w:rPr>
          <w:b/>
        </w:rPr>
        <w:t xml:space="preserve">Gaz chromatography - Flame Ionisation Detector (GC-FID) </w:t>
      </w:r>
    </w:p>
    <w:p w:rsidR="0035228D" w:rsidRDefault="00014568" w:rsidP="00D04B80">
      <w:pPr>
        <w:pStyle w:val="Paragraphestandard"/>
        <w:spacing w:before="0"/>
        <w:ind w:left="2410" w:hanging="1985"/>
        <w:rPr>
          <w:b/>
        </w:rPr>
      </w:pPr>
      <w:r>
        <w:rPr>
          <w:b/>
        </w:rPr>
        <w:tab/>
      </w:r>
      <w:r w:rsidRPr="00014568">
        <w:rPr>
          <w:b/>
        </w:rPr>
        <w:t>Gaz chromatrography - Mass spectrometry (GC-MS)</w:t>
      </w:r>
    </w:p>
    <w:p w:rsidR="006F6DA0" w:rsidRPr="005D5B47" w:rsidRDefault="006F6DA0" w:rsidP="00B936C4">
      <w:pPr>
        <w:pStyle w:val="Paragraphestandard"/>
        <w:spacing w:before="0"/>
        <w:ind w:left="2410" w:hanging="1985"/>
      </w:pPr>
      <w:r w:rsidRPr="005D5B47">
        <w:t>Manufacturer:</w:t>
      </w:r>
      <w:r w:rsidRPr="005D5B47">
        <w:tab/>
      </w:r>
      <w:r w:rsidR="005D5B47" w:rsidRPr="00B936C4">
        <w:rPr>
          <w:b/>
        </w:rPr>
        <w:t>VARIAN</w:t>
      </w:r>
    </w:p>
    <w:p w:rsidR="006F6DA0" w:rsidRPr="005D5B47" w:rsidRDefault="006F6DA0" w:rsidP="00B936C4">
      <w:pPr>
        <w:pStyle w:val="Paragraphestandard"/>
        <w:spacing w:before="0"/>
        <w:ind w:left="2410" w:hanging="1985"/>
      </w:pPr>
      <w:r w:rsidRPr="005D5B47">
        <w:t>Model:</w:t>
      </w:r>
      <w:r w:rsidRPr="005D5B47">
        <w:tab/>
      </w:r>
      <w:r w:rsidR="005D5B47" w:rsidRPr="00B936C4">
        <w:rPr>
          <w:b/>
        </w:rPr>
        <w:t>CP4800</w:t>
      </w:r>
    </w:p>
    <w:p w:rsidR="006F6DA0" w:rsidRPr="005D5B47" w:rsidRDefault="006F6DA0" w:rsidP="00B936C4">
      <w:pPr>
        <w:pStyle w:val="Paragraphestandard"/>
        <w:spacing w:before="0"/>
        <w:rPr>
          <w:b/>
        </w:rPr>
      </w:pPr>
      <w:r w:rsidRPr="005D5B47">
        <w:t xml:space="preserve">Instrument Features / Calibration: </w:t>
      </w:r>
      <w:r w:rsidR="005D5B47">
        <w:t>Calibration with e</w:t>
      </w:r>
      <w:r w:rsidR="005D5B47" w:rsidRPr="005D5B47">
        <w:t>xternal and internal standards</w:t>
      </w:r>
      <w:r w:rsidR="00E56B92">
        <w:t>.</w:t>
      </w:r>
    </w:p>
    <w:p w:rsidR="00014568" w:rsidRPr="00014568" w:rsidRDefault="000B79A5" w:rsidP="00D04B80">
      <w:pPr>
        <w:pStyle w:val="Paragraphestandard"/>
        <w:numPr>
          <w:ilvl w:val="0"/>
          <w:numId w:val="7"/>
        </w:numPr>
        <w:ind w:left="284" w:hanging="284"/>
        <w:rPr>
          <w:b/>
        </w:rPr>
      </w:pPr>
      <w:r>
        <w:lastRenderedPageBreak/>
        <w:t>FA</w:t>
      </w:r>
      <w:r w:rsidR="00014568">
        <w:t xml:space="preserve"> production</w:t>
      </w:r>
      <w:r w:rsidR="00643B74">
        <w:t xml:space="preserve">, </w:t>
      </w:r>
      <w:r w:rsidR="00643B74" w:rsidRPr="00D04B80">
        <w:rPr>
          <w:vertAlign w:val="superscript"/>
        </w:rPr>
        <w:t>13</w:t>
      </w:r>
      <w:r w:rsidR="00643B74">
        <w:t>C-labelled experiment</w:t>
      </w:r>
      <w:r w:rsidR="00D04B80">
        <w:t>s</w:t>
      </w:r>
      <w:r w:rsidR="00643B74">
        <w:t xml:space="preserve"> (Units: </w:t>
      </w:r>
      <w:r w:rsidR="00643B74">
        <w:rPr>
          <w:rFonts w:cs="Arial"/>
          <w:color w:val="000000" w:themeColor="text1"/>
        </w:rPr>
        <w:t>µg</w:t>
      </w:r>
      <w:r w:rsidR="00643B74" w:rsidRPr="0064095B">
        <w:t>.</w:t>
      </w:r>
      <w:r w:rsidR="00643B74">
        <w:t>m</w:t>
      </w:r>
      <w:r w:rsidR="00643B74" w:rsidRPr="00643B74">
        <w:rPr>
          <w:vertAlign w:val="superscript"/>
        </w:rPr>
        <w:t>-2</w:t>
      </w:r>
      <w:r w:rsidR="00643B74">
        <w:t>.d</w:t>
      </w:r>
      <w:r w:rsidR="00643B74" w:rsidRPr="0064095B">
        <w:rPr>
          <w:vertAlign w:val="superscript"/>
        </w:rPr>
        <w:t>–1</w:t>
      </w:r>
      <w:r w:rsidR="00643B74">
        <w:t>):</w:t>
      </w:r>
    </w:p>
    <w:p w:rsidR="00085EA4" w:rsidRDefault="00085EA4" w:rsidP="00D04B80">
      <w:pPr>
        <w:pStyle w:val="Paragraphestandard"/>
        <w:ind w:left="2410" w:hanging="1985"/>
        <w:jc w:val="left"/>
      </w:pPr>
      <w:r w:rsidRPr="0035228D">
        <w:t>Instrument Type:</w:t>
      </w:r>
      <w:r>
        <w:tab/>
      </w:r>
      <w:r w:rsidRPr="00014568">
        <w:rPr>
          <w:b/>
        </w:rPr>
        <w:t xml:space="preserve">Gaz </w:t>
      </w:r>
      <w:r w:rsidR="00643B74">
        <w:rPr>
          <w:b/>
        </w:rPr>
        <w:t>C</w:t>
      </w:r>
      <w:r w:rsidRPr="00014568">
        <w:rPr>
          <w:b/>
        </w:rPr>
        <w:t>hromatography – Isotope Rat</w:t>
      </w:r>
      <w:r>
        <w:rPr>
          <w:b/>
        </w:rPr>
        <w:t>io Mass Spectrometry (GC-</w:t>
      </w:r>
      <w:r w:rsidR="00643B74">
        <w:rPr>
          <w:b/>
        </w:rPr>
        <w:t>c</w:t>
      </w:r>
      <w:r>
        <w:rPr>
          <w:b/>
        </w:rPr>
        <w:t>-IRMS</w:t>
      </w:r>
      <w:r w:rsidRPr="00014568">
        <w:rPr>
          <w:b/>
        </w:rPr>
        <w:t>)</w:t>
      </w:r>
    </w:p>
    <w:p w:rsidR="003D2B75" w:rsidRPr="006F6DA0" w:rsidRDefault="003D2B75" w:rsidP="00B936C4">
      <w:pPr>
        <w:pStyle w:val="Paragraphestandard"/>
        <w:spacing w:before="0"/>
        <w:ind w:left="2410" w:hanging="1985"/>
        <w:rPr>
          <w:lang w:val="fr-FR"/>
        </w:rPr>
      </w:pPr>
      <w:r w:rsidRPr="006F6DA0">
        <w:rPr>
          <w:lang w:val="fr-FR"/>
        </w:rPr>
        <w:t>Manufacturer:</w:t>
      </w:r>
      <w:r w:rsidRPr="006F6DA0">
        <w:rPr>
          <w:lang w:val="fr-FR"/>
        </w:rPr>
        <w:tab/>
      </w:r>
      <w:r w:rsidR="005D5B47" w:rsidRPr="00B936C4">
        <w:rPr>
          <w:b/>
          <w:lang w:val="fr-FR"/>
        </w:rPr>
        <w:t>Thermo Scientific</w:t>
      </w:r>
    </w:p>
    <w:p w:rsidR="003D2B75" w:rsidRPr="006F6DA0" w:rsidRDefault="003D2B75" w:rsidP="00B936C4">
      <w:pPr>
        <w:pStyle w:val="Paragraphestandard"/>
        <w:spacing w:before="0"/>
        <w:ind w:left="2410" w:hanging="1985"/>
        <w:rPr>
          <w:lang w:val="fr-FR"/>
        </w:rPr>
      </w:pPr>
      <w:r w:rsidRPr="006F6DA0">
        <w:rPr>
          <w:lang w:val="fr-FR"/>
        </w:rPr>
        <w:t>Model:</w:t>
      </w:r>
      <w:r w:rsidRPr="006F6DA0">
        <w:rPr>
          <w:lang w:val="fr-FR"/>
        </w:rPr>
        <w:tab/>
      </w:r>
      <w:r w:rsidR="005D5B47" w:rsidRPr="00B936C4">
        <w:rPr>
          <w:b/>
          <w:lang w:val="fr-FR"/>
        </w:rPr>
        <w:t xml:space="preserve">Trace GC Ultra </w:t>
      </w:r>
      <w:r w:rsidR="00643B74" w:rsidRPr="00B936C4">
        <w:rPr>
          <w:b/>
          <w:lang w:val="fr-FR"/>
        </w:rPr>
        <w:t>-</w:t>
      </w:r>
      <w:r w:rsidR="005D5B47" w:rsidRPr="00B936C4">
        <w:rPr>
          <w:b/>
          <w:lang w:val="fr-FR"/>
        </w:rPr>
        <w:t xml:space="preserve"> Delta V plus</w:t>
      </w:r>
    </w:p>
    <w:p w:rsidR="003D2B75" w:rsidRPr="005D5B47" w:rsidRDefault="003D2B75" w:rsidP="00B936C4">
      <w:pPr>
        <w:pStyle w:val="Paragraphestandard"/>
        <w:spacing w:before="0"/>
        <w:ind w:left="4111" w:hanging="3686"/>
        <w:jc w:val="left"/>
        <w:rPr>
          <w:b/>
        </w:rPr>
      </w:pPr>
      <w:r w:rsidRPr="005D5B47">
        <w:t>Instrument Features / Calibration:</w:t>
      </w:r>
      <w:r w:rsidR="00B936C4">
        <w:tab/>
      </w:r>
      <w:r w:rsidR="005D5B47">
        <w:t xml:space="preserve">Calibration with </w:t>
      </w:r>
      <w:r w:rsidR="00E56B92" w:rsidRPr="005D5B47">
        <w:t>in-house standards and certified reference material</w:t>
      </w:r>
      <w:r w:rsidR="00E56B92">
        <w:t>.</w:t>
      </w:r>
    </w:p>
    <w:p w:rsidR="00390C4D" w:rsidRPr="00FE202C" w:rsidRDefault="00390C4D" w:rsidP="009E6ADC">
      <w:pPr>
        <w:pStyle w:val="Titre1"/>
        <w:rPr>
          <w:lang w:val="en-US"/>
        </w:rPr>
      </w:pPr>
      <w:r w:rsidRPr="00FE202C">
        <w:rPr>
          <w:lang w:val="en-US"/>
        </w:rPr>
        <w:t>DESCRIPTION of PARAMETERS</w:t>
      </w:r>
    </w:p>
    <w:p w:rsidR="00390C4D" w:rsidRDefault="00390C4D" w:rsidP="00390C4D">
      <w:pPr>
        <w:pStyle w:val="Titre2"/>
      </w:pPr>
      <w:r>
        <w:t>Parameters definition</w:t>
      </w:r>
    </w:p>
    <w:p w:rsidR="005F39D3" w:rsidRDefault="004875AB" w:rsidP="00F817FD">
      <w:pPr>
        <w:pStyle w:val="Paragraphestandard"/>
      </w:pPr>
      <w:r>
        <w:t xml:space="preserve">Fatty </w:t>
      </w:r>
      <w:r w:rsidR="00F817FD">
        <w:t>A</w:t>
      </w:r>
      <w:r>
        <w:t xml:space="preserve">cids </w:t>
      </w:r>
      <w:r w:rsidR="00F817FD">
        <w:t xml:space="preserve">(FA) </w:t>
      </w:r>
      <w:r w:rsidR="0007129B">
        <w:t xml:space="preserve">investigated in this work are </w:t>
      </w:r>
      <w:r w:rsidR="006C35AA" w:rsidRPr="006C35AA">
        <w:t>carboxylic acid</w:t>
      </w:r>
      <w:r w:rsidR="006C35AA">
        <w:t>s</w:t>
      </w:r>
      <w:r w:rsidR="0007129B">
        <w:t xml:space="preserve"> with an </w:t>
      </w:r>
      <w:r w:rsidR="006C35AA" w:rsidRPr="006C35AA">
        <w:t>aliphatic chain</w:t>
      </w:r>
      <w:r w:rsidR="0007129B">
        <w:t xml:space="preserve"> </w:t>
      </w:r>
      <w:r w:rsidR="002C4EFD">
        <w:t>containing between</w:t>
      </w:r>
      <w:r w:rsidR="0007129B">
        <w:t xml:space="preserve"> 13 </w:t>
      </w:r>
      <w:r w:rsidR="00F817FD">
        <w:t xml:space="preserve">up to </w:t>
      </w:r>
      <w:r w:rsidR="0007129B">
        <w:t xml:space="preserve">24 </w:t>
      </w:r>
      <w:r w:rsidR="00F817FD">
        <w:t>atoms</w:t>
      </w:r>
      <w:r w:rsidR="00756709" w:rsidRPr="00756709">
        <w:t xml:space="preserve"> </w:t>
      </w:r>
      <w:r w:rsidR="00756709">
        <w:t>of C</w:t>
      </w:r>
      <w:r w:rsidR="00F817FD">
        <w:t>, which are e</w:t>
      </w:r>
      <w:r w:rsidR="006C35AA" w:rsidRPr="006C35AA">
        <w:t>ither saturated or unsaturated</w:t>
      </w:r>
      <w:r w:rsidR="00F817FD">
        <w:t xml:space="preserve">. The general formula for these compounds is: C:Yn-X, </w:t>
      </w:r>
      <w:r w:rsidR="00174501">
        <w:t>where</w:t>
      </w:r>
      <w:r w:rsidR="00F817FD">
        <w:t xml:space="preserve"> C </w:t>
      </w:r>
      <w:r w:rsidR="00174501">
        <w:t xml:space="preserve">is </w:t>
      </w:r>
      <w:r w:rsidR="00F817FD">
        <w:t>the number of C atoms, Y the number of unsaturation and X the position of the first unsaturation.</w:t>
      </w:r>
      <w:r w:rsidR="005F39D3">
        <w:t xml:space="preserve"> </w:t>
      </w:r>
    </w:p>
    <w:p w:rsidR="00E556B2" w:rsidRDefault="005F39D3" w:rsidP="00E556B2">
      <w:pPr>
        <w:pStyle w:val="Paragraphestandard"/>
      </w:pPr>
      <w:r>
        <w:t xml:space="preserve">According to their molecular structure, FA can be divided into different classes </w:t>
      </w:r>
      <w:r w:rsidR="00174501">
        <w:t>(</w:t>
      </w:r>
      <w:r>
        <w:t xml:space="preserve">Table </w:t>
      </w:r>
      <w:r w:rsidR="00756709">
        <w:t>3</w:t>
      </w:r>
      <w:r w:rsidR="00174501">
        <w:t xml:space="preserve">) </w:t>
      </w:r>
      <w:r w:rsidR="002C4EFD">
        <w:t>includ</w:t>
      </w:r>
      <w:r w:rsidR="00174501">
        <w:t>ing</w:t>
      </w:r>
      <w:r w:rsidR="00756709">
        <w:t xml:space="preserve"> Saturated FA with an even number of C atoms (SAFA</w:t>
      </w:r>
      <w:r w:rsidR="000C13E9">
        <w:t>s</w:t>
      </w:r>
      <w:r w:rsidR="00756709">
        <w:t>), Saturated FA with an uneven number of C atoms (BACT</w:t>
      </w:r>
      <w:r w:rsidR="000C13E9">
        <w:t>s</w:t>
      </w:r>
      <w:r w:rsidR="00756709">
        <w:t>), Mono-unsaturated FA (MUFA</w:t>
      </w:r>
      <w:r w:rsidR="000C13E9">
        <w:t>s</w:t>
      </w:r>
      <w:r w:rsidR="00756709">
        <w:t xml:space="preserve">), </w:t>
      </w:r>
      <w:r w:rsidR="000C13E9">
        <w:t xml:space="preserve">Poly-unsaturated FA </w:t>
      </w:r>
      <w:r w:rsidR="000B79A5">
        <w:t xml:space="preserve">(PUFAs) and Branched FA (BFAs). </w:t>
      </w:r>
      <w:r w:rsidR="00174501">
        <w:t>A</w:t>
      </w:r>
      <w:r w:rsidR="000B79A5">
        <w:t xml:space="preserve">mong the PUFA class, EPA </w:t>
      </w:r>
      <w:r w:rsidR="000B79A5" w:rsidRPr="000B79A5">
        <w:t>(20:5n-3</w:t>
      </w:r>
      <w:r w:rsidR="000B79A5">
        <w:t>)</w:t>
      </w:r>
      <w:r w:rsidR="000B79A5" w:rsidRPr="000B79A5">
        <w:t xml:space="preserve"> and </w:t>
      </w:r>
      <w:r w:rsidR="000B79A5">
        <w:t>DHA (</w:t>
      </w:r>
      <w:r w:rsidR="000B79A5" w:rsidRPr="000B79A5">
        <w:t>22:6n-3</w:t>
      </w:r>
      <w:r w:rsidR="000B79A5">
        <w:t>) corresponds to omega-3 FA.</w:t>
      </w:r>
    </w:p>
    <w:p w:rsidR="00390C4D" w:rsidRPr="000C13E9" w:rsidRDefault="005F39D3" w:rsidP="000F0645">
      <w:pPr>
        <w:spacing w:before="120" w:after="120"/>
        <w:jc w:val="center"/>
        <w:rPr>
          <w:lang w:val="en-US"/>
        </w:rPr>
      </w:pPr>
      <w:r w:rsidRPr="00EC4908">
        <w:rPr>
          <w:b/>
          <w:lang w:val="en-US"/>
        </w:rPr>
        <w:t xml:space="preserve">Table </w:t>
      </w:r>
      <w:r w:rsidR="000C13E9">
        <w:rPr>
          <w:b/>
          <w:lang w:val="en-US"/>
        </w:rPr>
        <w:t>3</w:t>
      </w:r>
      <w:r w:rsidRPr="00EC4908">
        <w:rPr>
          <w:b/>
          <w:lang w:val="en-US"/>
        </w:rPr>
        <w:t xml:space="preserve"> : </w:t>
      </w:r>
      <w:r w:rsidR="000C13E9">
        <w:rPr>
          <w:b/>
          <w:lang w:val="en-US"/>
        </w:rPr>
        <w:t>Fatty acids definition and acronyms.</w:t>
      </w:r>
    </w:p>
    <w:tbl>
      <w:tblPr>
        <w:tblStyle w:val="TableauGrille4-Accentuation1"/>
        <w:tblW w:w="7655" w:type="dxa"/>
        <w:jc w:val="center"/>
        <w:tblBorders>
          <w:top w:val="none" w:sz="0" w:space="0" w:color="auto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2410"/>
      </w:tblGrid>
      <w:tr w:rsidR="000F0645" w:rsidRPr="000F0645" w:rsidTr="000F0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rPr>
                <w:rFonts w:asciiTheme="minorHAnsi" w:hAnsiTheme="minorHAnsi"/>
                <w:color w:val="FFFFFF" w:themeColor="background1"/>
                <w:szCs w:val="18"/>
                <w:lang w:val="en-US"/>
              </w:rPr>
            </w:pPr>
            <w:r w:rsidRPr="000F0645">
              <w:rPr>
                <w:rFonts w:asciiTheme="minorHAnsi" w:hAnsiTheme="minorHAnsi"/>
                <w:color w:val="FFFFFF" w:themeColor="background1"/>
                <w:szCs w:val="18"/>
                <w:lang w:val="en-US"/>
              </w:rPr>
              <w:t>Acronym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Cs w:val="18"/>
                <w:lang w:val="en-US"/>
              </w:rPr>
            </w:pPr>
            <w:r w:rsidRPr="000F0645">
              <w:rPr>
                <w:rFonts w:asciiTheme="minorHAnsi" w:hAnsiTheme="minorHAnsi"/>
                <w:color w:val="FFFFFF" w:themeColor="background1"/>
                <w:szCs w:val="18"/>
                <w:lang w:val="en-US"/>
              </w:rPr>
              <w:t>Definition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Cs w:val="18"/>
                <w:lang w:val="en-US"/>
              </w:rPr>
            </w:pPr>
            <w:r w:rsidRPr="000F0645">
              <w:rPr>
                <w:rFonts w:asciiTheme="minorHAnsi" w:hAnsiTheme="minorHAnsi"/>
                <w:color w:val="FFFFFF" w:themeColor="background1"/>
                <w:szCs w:val="18"/>
                <w:lang w:val="en-US"/>
              </w:rPr>
              <w:t>General Formula</w:t>
            </w:r>
          </w:p>
        </w:tc>
      </w:tr>
      <w:tr w:rsidR="003A6264" w:rsidRPr="000F0645" w:rsidTr="000F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rPr>
                <w:rFonts w:asciiTheme="minorHAnsi" w:hAnsiTheme="minorHAnsi"/>
                <w:szCs w:val="18"/>
                <w:lang w:val="en-US"/>
              </w:rPr>
            </w:pPr>
            <w:r w:rsidRPr="000F0645">
              <w:rPr>
                <w:rFonts w:asciiTheme="minorHAnsi" w:hAnsiTheme="minorHAnsi"/>
                <w:szCs w:val="18"/>
                <w:lang w:val="en-US"/>
              </w:rPr>
              <w:t>SAFAs</w:t>
            </w:r>
          </w:p>
        </w:tc>
        <w:tc>
          <w:tcPr>
            <w:tcW w:w="3544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18"/>
                <w:lang w:val="en-US"/>
              </w:rPr>
            </w:pPr>
            <w:r w:rsidRPr="000F0645">
              <w:rPr>
                <w:rFonts w:asciiTheme="minorHAnsi" w:hAnsiTheme="minorHAnsi"/>
                <w:i/>
                <w:iCs/>
                <w:szCs w:val="18"/>
                <w:lang w:val="en-US"/>
              </w:rPr>
              <w:t>Saturated Fatty Acids</w:t>
            </w:r>
          </w:p>
        </w:tc>
        <w:tc>
          <w:tcPr>
            <w:tcW w:w="2410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18"/>
                <w:lang w:val="en-US"/>
              </w:rPr>
            </w:pPr>
            <w:r w:rsidRPr="000F0645">
              <w:rPr>
                <w:rFonts w:asciiTheme="minorHAnsi" w:hAnsiTheme="minorHAnsi"/>
                <w:szCs w:val="18"/>
                <w:lang w:val="en-US"/>
              </w:rPr>
              <w:t xml:space="preserve">C:0 </w:t>
            </w:r>
            <w:r w:rsidR="00B54973" w:rsidRPr="000F0645">
              <w:rPr>
                <w:rFonts w:asciiTheme="minorHAnsi" w:hAnsiTheme="minorHAnsi"/>
                <w:szCs w:val="18"/>
                <w:lang w:val="en-US"/>
              </w:rPr>
              <w:t>with</w:t>
            </w:r>
            <w:r w:rsidRPr="000F0645">
              <w:rPr>
                <w:rFonts w:asciiTheme="minorHAnsi" w:hAnsiTheme="minorHAnsi"/>
                <w:szCs w:val="18"/>
                <w:lang w:val="en-US"/>
              </w:rPr>
              <w:t xml:space="preserve"> </w:t>
            </w:r>
            <w:r w:rsidR="00B54973" w:rsidRPr="000F0645">
              <w:rPr>
                <w:rFonts w:asciiTheme="minorHAnsi" w:hAnsiTheme="minorHAnsi"/>
                <w:szCs w:val="18"/>
                <w:lang w:val="en-US"/>
              </w:rPr>
              <w:t xml:space="preserve">even </w:t>
            </w:r>
            <w:r w:rsidRPr="000F0645">
              <w:rPr>
                <w:rFonts w:asciiTheme="minorHAnsi" w:hAnsiTheme="minorHAnsi"/>
                <w:szCs w:val="18"/>
                <w:lang w:val="en-US"/>
              </w:rPr>
              <w:t>C</w:t>
            </w:r>
          </w:p>
        </w:tc>
      </w:tr>
      <w:tr w:rsidR="003A6264" w:rsidRPr="000F0645" w:rsidTr="000F064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BACTs</w:t>
            </w:r>
          </w:p>
        </w:tc>
        <w:tc>
          <w:tcPr>
            <w:tcW w:w="3544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i/>
                <w:iCs/>
                <w:szCs w:val="18"/>
              </w:rPr>
              <w:t>Bacterial Fatty Acids</w:t>
            </w:r>
          </w:p>
        </w:tc>
        <w:tc>
          <w:tcPr>
            <w:tcW w:w="2410" w:type="dxa"/>
            <w:shd w:val="clear" w:color="auto" w:fill="E8ECF3"/>
            <w:vAlign w:val="center"/>
          </w:tcPr>
          <w:p w:rsidR="003A6264" w:rsidRPr="000F0645" w:rsidRDefault="00B54973" w:rsidP="000F0645">
            <w:pPr>
              <w:pStyle w:val="Styledetableau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  <w:lang w:val="en-US"/>
              </w:rPr>
            </w:pPr>
            <w:r w:rsidRPr="000F0645">
              <w:rPr>
                <w:rFonts w:asciiTheme="minorHAnsi" w:hAnsiTheme="minorHAnsi"/>
                <w:szCs w:val="18"/>
                <w:lang w:val="en-US"/>
              </w:rPr>
              <w:t>C:0 with</w:t>
            </w:r>
            <w:r w:rsidR="003A6264" w:rsidRPr="000F0645">
              <w:rPr>
                <w:rFonts w:asciiTheme="minorHAnsi" w:hAnsiTheme="minorHAnsi"/>
                <w:szCs w:val="18"/>
                <w:lang w:val="en-US"/>
              </w:rPr>
              <w:t xml:space="preserve"> </w:t>
            </w:r>
            <w:r w:rsidRPr="000F0645">
              <w:rPr>
                <w:rFonts w:asciiTheme="minorHAnsi" w:hAnsiTheme="minorHAnsi"/>
                <w:szCs w:val="18"/>
                <w:lang w:val="en-US"/>
              </w:rPr>
              <w:t xml:space="preserve">uneven </w:t>
            </w:r>
            <w:r w:rsidR="003A6264" w:rsidRPr="000F0645">
              <w:rPr>
                <w:rFonts w:asciiTheme="minorHAnsi" w:hAnsiTheme="minorHAnsi"/>
                <w:szCs w:val="18"/>
                <w:lang w:val="en-US"/>
              </w:rPr>
              <w:t>C</w:t>
            </w:r>
          </w:p>
        </w:tc>
      </w:tr>
      <w:tr w:rsidR="003A6264" w:rsidRPr="000F0645" w:rsidTr="000F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MUFAs</w:t>
            </w:r>
          </w:p>
        </w:tc>
        <w:tc>
          <w:tcPr>
            <w:tcW w:w="3544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i/>
                <w:iCs/>
                <w:szCs w:val="18"/>
              </w:rPr>
              <w:t>Monounsaturated Fatty Acids</w:t>
            </w:r>
          </w:p>
        </w:tc>
        <w:tc>
          <w:tcPr>
            <w:tcW w:w="2410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C:1n-X</w:t>
            </w:r>
          </w:p>
        </w:tc>
      </w:tr>
      <w:tr w:rsidR="003A6264" w:rsidRPr="000F0645" w:rsidTr="000F064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PUFAs</w:t>
            </w:r>
          </w:p>
        </w:tc>
        <w:tc>
          <w:tcPr>
            <w:tcW w:w="3544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i/>
                <w:iCs/>
                <w:szCs w:val="18"/>
              </w:rPr>
              <w:t>Polyunsaturated Fatty Acids</w:t>
            </w:r>
          </w:p>
        </w:tc>
        <w:tc>
          <w:tcPr>
            <w:tcW w:w="2410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C:Yn-X</w:t>
            </w:r>
          </w:p>
        </w:tc>
      </w:tr>
      <w:tr w:rsidR="003A6264" w:rsidRPr="000F0645" w:rsidTr="000F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n-3</w:t>
            </w:r>
          </w:p>
        </w:tc>
        <w:tc>
          <w:tcPr>
            <w:tcW w:w="3544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Cs w:val="18"/>
              </w:rPr>
            </w:pPr>
            <w:r w:rsidRPr="000F0645">
              <w:rPr>
                <w:rFonts w:asciiTheme="minorHAnsi" w:hAnsiTheme="minorHAnsi"/>
                <w:i/>
                <w:iCs/>
                <w:szCs w:val="18"/>
              </w:rPr>
              <w:t>Omega 3</w:t>
            </w:r>
          </w:p>
        </w:tc>
        <w:tc>
          <w:tcPr>
            <w:tcW w:w="2410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C:Yn-3</w:t>
            </w:r>
          </w:p>
        </w:tc>
      </w:tr>
      <w:tr w:rsidR="003A6264" w:rsidRPr="000F0645" w:rsidTr="000F064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n-6</w:t>
            </w:r>
          </w:p>
        </w:tc>
        <w:tc>
          <w:tcPr>
            <w:tcW w:w="3544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Cs w:val="18"/>
              </w:rPr>
            </w:pPr>
            <w:r w:rsidRPr="000F0645">
              <w:rPr>
                <w:rFonts w:asciiTheme="minorHAnsi" w:hAnsiTheme="minorHAnsi"/>
                <w:i/>
                <w:iCs/>
                <w:szCs w:val="18"/>
              </w:rPr>
              <w:t>Omega 6</w:t>
            </w:r>
          </w:p>
        </w:tc>
        <w:tc>
          <w:tcPr>
            <w:tcW w:w="2410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C:Yn-6</w:t>
            </w:r>
          </w:p>
        </w:tc>
      </w:tr>
      <w:tr w:rsidR="003A6264" w:rsidRPr="000F0645" w:rsidTr="000F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BFAs</w:t>
            </w:r>
          </w:p>
        </w:tc>
        <w:tc>
          <w:tcPr>
            <w:tcW w:w="3544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18"/>
                <w:lang w:val="en-US"/>
              </w:rPr>
            </w:pPr>
            <w:r w:rsidRPr="000F0645">
              <w:rPr>
                <w:rFonts w:asciiTheme="minorHAnsi" w:hAnsiTheme="minorHAnsi"/>
                <w:i/>
                <w:iCs/>
                <w:szCs w:val="18"/>
                <w:lang w:val="en-US"/>
              </w:rPr>
              <w:t>Branched Fatty Acids</w:t>
            </w:r>
          </w:p>
        </w:tc>
        <w:tc>
          <w:tcPr>
            <w:tcW w:w="2410" w:type="dxa"/>
            <w:shd w:val="clear" w:color="auto" w:fill="CED7E7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iso/ant</w:t>
            </w:r>
            <w:r w:rsidR="000C13E9" w:rsidRPr="000F0645">
              <w:rPr>
                <w:rFonts w:asciiTheme="minorHAnsi" w:hAnsiTheme="minorHAnsi"/>
                <w:szCs w:val="18"/>
              </w:rPr>
              <w:t>e</w:t>
            </w:r>
            <w:r w:rsidRPr="000F0645">
              <w:rPr>
                <w:rFonts w:asciiTheme="minorHAnsi" w:hAnsiTheme="minorHAnsi"/>
                <w:szCs w:val="18"/>
              </w:rPr>
              <w:t>iso C:0</w:t>
            </w:r>
          </w:p>
        </w:tc>
      </w:tr>
      <w:tr w:rsidR="003A6264" w:rsidRPr="000F0645" w:rsidTr="000F064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rPr>
                <w:rFonts w:asciiTheme="minorHAnsi" w:hAnsiTheme="minorHAnsi"/>
                <w:szCs w:val="18"/>
              </w:rPr>
            </w:pPr>
            <w:r w:rsidRPr="000F0645">
              <w:rPr>
                <w:rFonts w:asciiTheme="minorHAnsi" w:hAnsiTheme="minorHAnsi"/>
                <w:szCs w:val="18"/>
              </w:rPr>
              <w:t>Unknowns</w:t>
            </w:r>
          </w:p>
        </w:tc>
        <w:tc>
          <w:tcPr>
            <w:tcW w:w="3544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Cs w:val="18"/>
                <w:lang w:val="en-US"/>
              </w:rPr>
            </w:pPr>
            <w:r w:rsidRPr="000F0645">
              <w:rPr>
                <w:rFonts w:asciiTheme="minorHAnsi" w:hAnsiTheme="minorHAnsi"/>
                <w:i/>
                <w:iCs/>
                <w:szCs w:val="18"/>
                <w:lang w:val="en-US"/>
              </w:rPr>
              <w:t>Unknowns Fatty Acids</w:t>
            </w:r>
          </w:p>
        </w:tc>
        <w:tc>
          <w:tcPr>
            <w:tcW w:w="2410" w:type="dxa"/>
            <w:shd w:val="clear" w:color="auto" w:fill="E8ECF3"/>
            <w:vAlign w:val="center"/>
          </w:tcPr>
          <w:p w:rsidR="003A6264" w:rsidRPr="000F0645" w:rsidRDefault="003A6264" w:rsidP="000F0645">
            <w:pPr>
              <w:pStyle w:val="Styledetableau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18"/>
              </w:rPr>
            </w:pPr>
          </w:p>
        </w:tc>
      </w:tr>
    </w:tbl>
    <w:p w:rsidR="0035228D" w:rsidRDefault="00AE2BD6" w:rsidP="00D0498F">
      <w:pPr>
        <w:pStyle w:val="Titre2"/>
      </w:pPr>
      <w:r>
        <w:t>Sampling details</w:t>
      </w:r>
    </w:p>
    <w:p w:rsidR="00B15C47" w:rsidRPr="00034B89" w:rsidRDefault="00BF74E3" w:rsidP="00B15C47">
      <w:pPr>
        <w:pStyle w:val="Listepuces"/>
        <w:rPr>
          <w:lang w:val="en-US"/>
        </w:rPr>
      </w:pPr>
      <w:r w:rsidRPr="00034B89">
        <w:rPr>
          <w:lang w:val="en-US"/>
        </w:rPr>
        <w:t>Total Fatty Acids (FA) concentrations, Neutral and Polar FA concentrations, FA classes concentrations (SAFA, Bact-FA, PUFA, MUFA)</w:t>
      </w:r>
      <w:r w:rsidR="00E556B2" w:rsidRPr="00034B89">
        <w:rPr>
          <w:lang w:val="en-US"/>
        </w:rPr>
        <w:t xml:space="preserve">, </w:t>
      </w:r>
      <w:r w:rsidR="000B79A5" w:rsidRPr="00034B89">
        <w:rPr>
          <w:lang w:val="en-US"/>
        </w:rPr>
        <w:t xml:space="preserve">EPA (20:5n-3) and DHA (22:6n-3) </w:t>
      </w:r>
      <w:r w:rsidR="00CB284A" w:rsidRPr="00034B89">
        <w:rPr>
          <w:lang w:val="en-US"/>
        </w:rPr>
        <w:t>concentration</w:t>
      </w:r>
    </w:p>
    <w:p w:rsidR="004825D6" w:rsidRDefault="008E6E83" w:rsidP="00AE2BD6">
      <w:pPr>
        <w:pStyle w:val="Paragraphestandard"/>
        <w:rPr>
          <w:snapToGrid w:val="0"/>
          <w:color w:val="000000"/>
        </w:rPr>
      </w:pPr>
      <w:r>
        <w:t xml:space="preserve">Samples for FA determination were obtained </w:t>
      </w:r>
      <w:r w:rsidR="004825D6">
        <w:rPr>
          <w:snapToGrid w:val="0"/>
          <w:color w:val="000000"/>
        </w:rPr>
        <w:t>at variable depths between 20 and 300 m</w:t>
      </w:r>
      <w:r w:rsidR="004825D6">
        <w:t xml:space="preserve"> using large volume</w:t>
      </w:r>
      <w:r>
        <w:t xml:space="preserve"> </w:t>
      </w:r>
      <w:r w:rsidR="004825D6">
        <w:rPr>
          <w:snapToGrid w:val="0"/>
          <w:color w:val="000000"/>
        </w:rPr>
        <w:t>in-situ pumping systems (ISP cast) at all sampled stations</w:t>
      </w:r>
      <w:r>
        <w:rPr>
          <w:snapToGrid w:val="0"/>
          <w:color w:val="000000"/>
        </w:rPr>
        <w:t xml:space="preserve">. </w:t>
      </w:r>
      <w:r w:rsidR="00644A30">
        <w:rPr>
          <w:snapToGrid w:val="0"/>
          <w:color w:val="000000"/>
        </w:rPr>
        <w:t>S</w:t>
      </w:r>
      <w:r>
        <w:rPr>
          <w:snapToGrid w:val="0"/>
          <w:color w:val="000000"/>
        </w:rPr>
        <w:t xml:space="preserve">uspended particulate matter </w:t>
      </w:r>
      <w:r w:rsidR="002B513E">
        <w:rPr>
          <w:snapToGrid w:val="0"/>
          <w:color w:val="000000"/>
        </w:rPr>
        <w:t xml:space="preserve">were collected </w:t>
      </w:r>
      <w:r w:rsidR="00644A30">
        <w:rPr>
          <w:snapToGrid w:val="0"/>
          <w:color w:val="000000"/>
        </w:rPr>
        <w:t xml:space="preserve">according to size with different filter configurations (1/50/300µm, 1/20/200 µm and 1/20/50 µm). All size fraction were subsampled for FA determination and immediately extracted using </w:t>
      </w:r>
      <w:r w:rsidR="00644A30">
        <w:rPr>
          <w:iCs/>
          <w:color w:val="000000"/>
          <w:lang w:eastAsia="es-ES_tradnl"/>
        </w:rPr>
        <w:t>a 2:1 chloroform:</w:t>
      </w:r>
      <w:r w:rsidR="00EB131E">
        <w:rPr>
          <w:iCs/>
          <w:color w:val="000000"/>
          <w:lang w:eastAsia="es-ES_tradnl"/>
        </w:rPr>
        <w:t>methanol</w:t>
      </w:r>
      <w:r w:rsidR="00644A30">
        <w:rPr>
          <w:iCs/>
          <w:color w:val="000000"/>
          <w:lang w:eastAsia="es-ES_tradnl"/>
        </w:rPr>
        <w:t xml:space="preserve"> solvent. Lipid extracts were stored at </w:t>
      </w:r>
      <w:r w:rsidR="006B39B8">
        <w:rPr>
          <w:iCs/>
          <w:color w:val="000000"/>
          <w:lang w:eastAsia="es-ES_tradnl"/>
        </w:rPr>
        <w:t>–</w:t>
      </w:r>
      <w:r w:rsidR="00644A30">
        <w:rPr>
          <w:iCs/>
          <w:color w:val="000000"/>
          <w:lang w:eastAsia="es-ES_tradnl"/>
        </w:rPr>
        <w:t>20°C. Additional samples for FA were obtained from s</w:t>
      </w:r>
      <w:r w:rsidR="00CB284A">
        <w:rPr>
          <w:snapToGrid w:val="0"/>
          <w:color w:val="000000"/>
        </w:rPr>
        <w:t xml:space="preserve">eawater samples collected </w:t>
      </w:r>
      <w:r w:rsidR="00644A30">
        <w:rPr>
          <w:snapToGrid w:val="0"/>
          <w:color w:val="000000"/>
        </w:rPr>
        <w:t xml:space="preserve">at </w:t>
      </w:r>
      <w:r w:rsidR="00CB284A">
        <w:rPr>
          <w:snapToGrid w:val="0"/>
          <w:color w:val="000000"/>
        </w:rPr>
        <w:t xml:space="preserve">CTD_OMICS cast </w:t>
      </w:r>
      <w:r w:rsidR="00644A30">
        <w:rPr>
          <w:snapToGrid w:val="0"/>
          <w:color w:val="000000"/>
        </w:rPr>
        <w:t>and at 3 depths (</w:t>
      </w:r>
      <w:r w:rsidR="00CB284A">
        <w:rPr>
          <w:snapToGrid w:val="0"/>
          <w:color w:val="000000"/>
        </w:rPr>
        <w:t>15</w:t>
      </w:r>
      <w:r w:rsidR="006B39B8">
        <w:rPr>
          <w:snapToGrid w:val="0"/>
          <w:color w:val="000000"/>
        </w:rPr>
        <w:t xml:space="preserve"> </w:t>
      </w:r>
      <w:r w:rsidR="00CB284A">
        <w:rPr>
          <w:snapToGrid w:val="0"/>
          <w:color w:val="000000"/>
        </w:rPr>
        <w:t>m, 40</w:t>
      </w:r>
      <w:r w:rsidR="006B39B8">
        <w:rPr>
          <w:snapToGrid w:val="0"/>
          <w:color w:val="000000"/>
        </w:rPr>
        <w:t xml:space="preserve"> </w:t>
      </w:r>
      <w:r w:rsidR="00CB284A">
        <w:rPr>
          <w:snapToGrid w:val="0"/>
          <w:color w:val="000000"/>
        </w:rPr>
        <w:t>m, and 100</w:t>
      </w:r>
      <w:r w:rsidR="006B39B8">
        <w:rPr>
          <w:snapToGrid w:val="0"/>
          <w:color w:val="000000"/>
        </w:rPr>
        <w:t xml:space="preserve"> </w:t>
      </w:r>
      <w:r w:rsidR="00CB284A">
        <w:rPr>
          <w:snapToGrid w:val="0"/>
          <w:color w:val="000000"/>
        </w:rPr>
        <w:t>m</w:t>
      </w:r>
      <w:r w:rsidR="00644A30">
        <w:rPr>
          <w:snapToGrid w:val="0"/>
          <w:color w:val="000000"/>
        </w:rPr>
        <w:t>)</w:t>
      </w:r>
      <w:r w:rsidR="00CB284A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Seawater s</w:t>
      </w:r>
      <w:r w:rsidR="004825D6">
        <w:rPr>
          <w:snapToGrid w:val="0"/>
          <w:color w:val="000000"/>
        </w:rPr>
        <w:t xml:space="preserve">amples (7 L) were filtered onboard and </w:t>
      </w:r>
      <w:r w:rsidR="004825D6">
        <w:rPr>
          <w:snapToGrid w:val="0"/>
          <w:color w:val="000000"/>
        </w:rPr>
        <w:lastRenderedPageBreak/>
        <w:t>r</w:t>
      </w:r>
      <w:r w:rsidR="00EB131E">
        <w:rPr>
          <w:snapToGrid w:val="0"/>
          <w:color w:val="000000"/>
        </w:rPr>
        <w:t xml:space="preserve">ight after </w:t>
      </w:r>
      <w:r w:rsidR="00CB284A">
        <w:rPr>
          <w:snapToGrid w:val="0"/>
          <w:color w:val="000000"/>
        </w:rPr>
        <w:t xml:space="preserve">filtration, boiling water </w:t>
      </w:r>
      <w:r w:rsidR="00EB131E">
        <w:rPr>
          <w:snapToGrid w:val="0"/>
          <w:color w:val="000000"/>
        </w:rPr>
        <w:t>was</w:t>
      </w:r>
      <w:r w:rsidR="00CB284A">
        <w:rPr>
          <w:snapToGrid w:val="0"/>
          <w:color w:val="000000"/>
        </w:rPr>
        <w:t xml:space="preserve"> added to the </w:t>
      </w:r>
      <w:r w:rsidR="004825D6">
        <w:rPr>
          <w:snapToGrid w:val="0"/>
          <w:color w:val="000000"/>
        </w:rPr>
        <w:t xml:space="preserve">GF/F </w:t>
      </w:r>
      <w:r w:rsidR="00CB284A">
        <w:rPr>
          <w:snapToGrid w:val="0"/>
          <w:color w:val="000000"/>
        </w:rPr>
        <w:t>filter to stop lipase activity</w:t>
      </w:r>
      <w:r w:rsidR="004825D6">
        <w:rPr>
          <w:snapToGrid w:val="0"/>
          <w:color w:val="000000"/>
        </w:rPr>
        <w:t xml:space="preserve">. GF/F filters </w:t>
      </w:r>
      <w:r w:rsidR="00CB284A">
        <w:rPr>
          <w:snapToGrid w:val="0"/>
          <w:color w:val="000000"/>
        </w:rPr>
        <w:t xml:space="preserve">were </w:t>
      </w:r>
      <w:r w:rsidR="004825D6">
        <w:rPr>
          <w:snapToGrid w:val="0"/>
          <w:color w:val="000000"/>
        </w:rPr>
        <w:t xml:space="preserve">then </w:t>
      </w:r>
      <w:r w:rsidR="00CB284A">
        <w:rPr>
          <w:snapToGrid w:val="0"/>
          <w:color w:val="000000"/>
        </w:rPr>
        <w:t xml:space="preserve">extracted </w:t>
      </w:r>
      <w:r w:rsidR="004825D6">
        <w:rPr>
          <w:snapToGrid w:val="0"/>
          <w:color w:val="000000"/>
        </w:rPr>
        <w:t xml:space="preserve">for lipids using </w:t>
      </w:r>
      <w:r w:rsidR="00EB131E">
        <w:rPr>
          <w:snapToGrid w:val="0"/>
          <w:color w:val="000000"/>
        </w:rPr>
        <w:t xml:space="preserve">2:1 </w:t>
      </w:r>
      <w:r w:rsidR="00CB284A">
        <w:rPr>
          <w:snapToGrid w:val="0"/>
          <w:color w:val="000000"/>
        </w:rPr>
        <w:t>chloroform:methanol solvent</w:t>
      </w:r>
      <w:r w:rsidR="004825D6">
        <w:rPr>
          <w:snapToGrid w:val="0"/>
          <w:color w:val="000000"/>
        </w:rPr>
        <w:t xml:space="preserve"> extraction and stored at </w:t>
      </w:r>
      <w:r w:rsidR="006B39B8">
        <w:rPr>
          <w:snapToGrid w:val="0"/>
          <w:color w:val="000000"/>
        </w:rPr>
        <w:t>–</w:t>
      </w:r>
      <w:r w:rsidR="004825D6">
        <w:rPr>
          <w:snapToGrid w:val="0"/>
          <w:color w:val="000000"/>
        </w:rPr>
        <w:t>20°C.</w:t>
      </w:r>
    </w:p>
    <w:p w:rsidR="00B15C47" w:rsidRPr="00B15C47" w:rsidRDefault="00174501" w:rsidP="00B15C47">
      <w:pPr>
        <w:pStyle w:val="Listepuces"/>
      </w:pPr>
      <w:r w:rsidRPr="00B15C47">
        <w:t>FA production</w:t>
      </w:r>
    </w:p>
    <w:p w:rsidR="00BF74E3" w:rsidRPr="00CB284A" w:rsidRDefault="00122EE9" w:rsidP="00AE2BD6">
      <w:pPr>
        <w:pStyle w:val="Paragraphestandard"/>
      </w:pPr>
      <w:r w:rsidRPr="00122EE9">
        <w:t>Triplicate</w:t>
      </w:r>
      <w:r>
        <w:rPr>
          <w:b/>
        </w:rPr>
        <w:t xml:space="preserve"> </w:t>
      </w:r>
      <w:r w:rsidRPr="006B39B8">
        <w:t>s</w:t>
      </w:r>
      <w:r>
        <w:t>eawater s</w:t>
      </w:r>
      <w:r w:rsidR="004825D6">
        <w:t xml:space="preserve">amples </w:t>
      </w:r>
      <w:r>
        <w:t xml:space="preserve">(1 L) were obtained </w:t>
      </w:r>
      <w:r w:rsidR="004825D6">
        <w:t xml:space="preserve">from the CTD-NCP cast </w:t>
      </w:r>
      <w:r>
        <w:t xml:space="preserve">at </w:t>
      </w:r>
      <w:r w:rsidR="006B39B8">
        <w:t>one</w:t>
      </w:r>
      <w:r w:rsidR="004825D6">
        <w:t xml:space="preserve"> depth</w:t>
      </w:r>
      <w:r>
        <w:t>. One sample was filtered right after collection and extracted for lipids in order to get the initial FA content. The two other samples w</w:t>
      </w:r>
      <w:r w:rsidR="004825D6">
        <w:t xml:space="preserve">ere spiked with </w:t>
      </w:r>
      <w:r w:rsidR="00034B89">
        <w:t>NaH</w:t>
      </w:r>
      <w:r w:rsidR="004825D6" w:rsidRPr="006B39B8">
        <w:rPr>
          <w:vertAlign w:val="superscript"/>
        </w:rPr>
        <w:t>13</w:t>
      </w:r>
      <w:r w:rsidR="004825D6">
        <w:t>C</w:t>
      </w:r>
      <w:r w:rsidR="00034B89">
        <w:t>O</w:t>
      </w:r>
      <w:r w:rsidR="00034B89" w:rsidRPr="00034B89">
        <w:rPr>
          <w:vertAlign w:val="subscript"/>
        </w:rPr>
        <w:t>3</w:t>
      </w:r>
      <w:r w:rsidR="00034B89">
        <w:t>–</w:t>
      </w:r>
      <w:r w:rsidR="004825D6">
        <w:t>enriched solution and incubated onboard for 24 h under 50 % PAR light conditions</w:t>
      </w:r>
      <w:r>
        <w:t>. Incubation was stopped by filtration and samples were extracted for lipids.</w:t>
      </w:r>
    </w:p>
    <w:p w:rsidR="00B15C47" w:rsidRDefault="00C76F62" w:rsidP="00B15C47">
      <w:pPr>
        <w:pStyle w:val="Listepuces"/>
      </w:pPr>
      <w:r>
        <w:t>Microzo</w:t>
      </w:r>
      <w:r w:rsidR="009837EB">
        <w:t>o</w:t>
      </w:r>
      <w:r>
        <w:t>plankton taxonomy</w:t>
      </w:r>
    </w:p>
    <w:p w:rsidR="00AE2BD6" w:rsidRDefault="00C76F62" w:rsidP="00AE2BD6">
      <w:pPr>
        <w:pStyle w:val="Paragraphestandard"/>
        <w:rPr>
          <w:rFonts w:eastAsia="Arial" w:cs="Arial"/>
          <w:color w:val="FF0000"/>
          <w:u w:color="FF0000"/>
        </w:rPr>
      </w:pPr>
      <w:r>
        <w:rPr>
          <w:snapToGrid w:val="0"/>
          <w:color w:val="000000"/>
        </w:rPr>
        <w:t>Samples were collected only from the top filter of the lipid header of the ISP</w:t>
      </w:r>
      <w:r w:rsidR="004F47EF">
        <w:rPr>
          <w:snapToGrid w:val="0"/>
          <w:color w:val="000000"/>
        </w:rPr>
        <w:t xml:space="preserve"> (200 µm). S</w:t>
      </w:r>
      <w:r w:rsidR="004F47EF">
        <w:rPr>
          <w:iCs/>
          <w:color w:val="000000"/>
          <w:lang w:eastAsia="es-ES_tradnl"/>
        </w:rPr>
        <w:t xml:space="preserve">ubsampling was done after resuspension in filtered seawater and using a MOTODA splitting box. ¼ was recollected </w:t>
      </w:r>
      <w:r>
        <w:rPr>
          <w:snapToGrid w:val="0"/>
          <w:color w:val="000000"/>
        </w:rPr>
        <w:t xml:space="preserve">on a GF/F filter and then stored in a cryotube for further microscopical identification by </w:t>
      </w:r>
      <w:r w:rsidR="006B39B8">
        <w:rPr>
          <w:snapToGrid w:val="0"/>
          <w:color w:val="000000"/>
        </w:rPr>
        <w:t>Alice Delegrange</w:t>
      </w:r>
      <w:r w:rsidR="00A0401F">
        <w:rPr>
          <w:snapToGrid w:val="0"/>
          <w:color w:val="000000"/>
        </w:rPr>
        <w:t xml:space="preserve"> (LOG Wimereux)</w:t>
      </w:r>
      <w:r w:rsidR="00AE2BD6">
        <w:t>.</w:t>
      </w:r>
    </w:p>
    <w:p w:rsidR="00AE2BD6" w:rsidRDefault="00AE2BD6" w:rsidP="00D0498F">
      <w:pPr>
        <w:pStyle w:val="Titre2"/>
      </w:pPr>
      <w:r>
        <w:t>Analytical procedure</w:t>
      </w:r>
    </w:p>
    <w:p w:rsidR="00122EE9" w:rsidRDefault="00122EE9" w:rsidP="0064095B">
      <w:pPr>
        <w:pStyle w:val="Paragraphestandard"/>
      </w:pPr>
      <w:r w:rsidRPr="00122EE9">
        <w:t xml:space="preserve">The </w:t>
      </w:r>
      <w:r w:rsidR="00BB20E4">
        <w:t>FA determination will include the following steps:</w:t>
      </w:r>
    </w:p>
    <w:p w:rsidR="00BB20E4" w:rsidRPr="00034B89" w:rsidRDefault="00BB20E4" w:rsidP="006B39B8">
      <w:pPr>
        <w:pStyle w:val="Listepuces2"/>
        <w:rPr>
          <w:lang w:val="en-US"/>
        </w:rPr>
      </w:pPr>
      <w:r w:rsidRPr="00034B89">
        <w:rPr>
          <w:lang w:val="en-US"/>
        </w:rPr>
        <w:t xml:space="preserve">2:1 chloroform:methanol lipid extracts will be further separated into Neutral and Polar fraction using Solid Phase Extraction and with Neutral </w:t>
      </w:r>
      <w:r w:rsidR="00C51B4E" w:rsidRPr="00034B89">
        <w:rPr>
          <w:lang w:val="en-US"/>
        </w:rPr>
        <w:t xml:space="preserve">(98:2 Chloroform:methanol) </w:t>
      </w:r>
      <w:r w:rsidRPr="00034B89">
        <w:rPr>
          <w:lang w:val="en-US"/>
        </w:rPr>
        <w:t xml:space="preserve">and Polar </w:t>
      </w:r>
      <w:r w:rsidR="00C51B4E" w:rsidRPr="00034B89">
        <w:rPr>
          <w:lang w:val="en-US"/>
        </w:rPr>
        <w:t xml:space="preserve">(methanol) </w:t>
      </w:r>
      <w:r w:rsidRPr="00034B89">
        <w:rPr>
          <w:lang w:val="en-US"/>
        </w:rPr>
        <w:t>solvents.</w:t>
      </w:r>
    </w:p>
    <w:p w:rsidR="0064095B" w:rsidRPr="00034B89" w:rsidRDefault="00BB20E4" w:rsidP="006B39B8">
      <w:pPr>
        <w:pStyle w:val="Listepuces2"/>
        <w:rPr>
          <w:lang w:val="en-US"/>
        </w:rPr>
      </w:pPr>
      <w:r w:rsidRPr="00034B89">
        <w:rPr>
          <w:lang w:val="en-US"/>
        </w:rPr>
        <w:t xml:space="preserve">The two fractions (neutral and polar) will be then transmethylated to allow FA determination by GC-FID. Molecular identification and quantification </w:t>
      </w:r>
      <w:r w:rsidR="003556EB" w:rsidRPr="00034B89">
        <w:rPr>
          <w:lang w:val="en-US"/>
        </w:rPr>
        <w:t>will be</w:t>
      </w:r>
      <w:r w:rsidRPr="00034B89">
        <w:rPr>
          <w:lang w:val="en-US"/>
        </w:rPr>
        <w:t xml:space="preserve"> performed according to retention time and using an internal standard of known composition </w:t>
      </w:r>
      <w:r w:rsidR="00C51B4E" w:rsidRPr="00034B89">
        <w:rPr>
          <w:lang w:val="en-US"/>
        </w:rPr>
        <w:t xml:space="preserve">(23:0) </w:t>
      </w:r>
      <w:r w:rsidR="00122EE9" w:rsidRPr="00034B89">
        <w:rPr>
          <w:lang w:val="en-US"/>
        </w:rPr>
        <w:t xml:space="preserve">(Folch </w:t>
      </w:r>
      <w:r w:rsidR="00122EE9" w:rsidRPr="00A0401F">
        <w:rPr>
          <w:i/>
          <w:lang w:val="en-US"/>
        </w:rPr>
        <w:t>et al.</w:t>
      </w:r>
      <w:r w:rsidR="00122EE9" w:rsidRPr="00034B89">
        <w:rPr>
          <w:lang w:val="en-US"/>
        </w:rPr>
        <w:t xml:space="preserve">, 1957 ; Soudant </w:t>
      </w:r>
      <w:r w:rsidR="00A0401F" w:rsidRPr="00A0401F">
        <w:rPr>
          <w:i/>
          <w:lang w:val="en-US"/>
        </w:rPr>
        <w:t>et al.</w:t>
      </w:r>
      <w:r w:rsidR="00122EE9" w:rsidRPr="00034B89">
        <w:rPr>
          <w:lang w:val="en-US"/>
        </w:rPr>
        <w:t>, 1999).</w:t>
      </w:r>
    </w:p>
    <w:p w:rsidR="003556EB" w:rsidRPr="00034B89" w:rsidRDefault="003556EB" w:rsidP="006B39B8">
      <w:pPr>
        <w:pStyle w:val="Listepuces2"/>
        <w:rPr>
          <w:lang w:val="en-US"/>
        </w:rPr>
      </w:pPr>
      <w:r w:rsidRPr="00034B89">
        <w:rPr>
          <w:lang w:val="en-US"/>
        </w:rPr>
        <w:t xml:space="preserve">The </w:t>
      </w:r>
      <w:r w:rsidR="001F7690" w:rsidRPr="00034B89">
        <w:rPr>
          <w:lang w:val="en-US"/>
        </w:rPr>
        <w:t xml:space="preserve">identified </w:t>
      </w:r>
      <w:r w:rsidRPr="00034B89">
        <w:rPr>
          <w:lang w:val="en-US"/>
        </w:rPr>
        <w:t>FA will be grouped into different classes as detailed in Table 3.</w:t>
      </w:r>
    </w:p>
    <w:p w:rsidR="00C51B4E" w:rsidRDefault="00C51B4E" w:rsidP="00C51B4E">
      <w:pPr>
        <w:pStyle w:val="Paragraphestandard"/>
        <w:rPr>
          <w:snapToGrid w:val="0"/>
          <w:color w:val="000000"/>
        </w:rPr>
      </w:pPr>
      <w:r>
        <w:rPr>
          <w:snapToGrid w:val="0"/>
          <w:color w:val="000000"/>
        </w:rPr>
        <w:t xml:space="preserve">For FA production, the same processing steps will be carried out. </w:t>
      </w:r>
      <w:r w:rsidRPr="006B39B8">
        <w:rPr>
          <w:snapToGrid w:val="0"/>
          <w:color w:val="000000"/>
          <w:vertAlign w:val="superscript"/>
        </w:rPr>
        <w:t>13</w:t>
      </w:r>
      <w:r>
        <w:rPr>
          <w:snapToGrid w:val="0"/>
          <w:color w:val="000000"/>
        </w:rPr>
        <w:t xml:space="preserve">C-enriched abundance </w:t>
      </w:r>
      <w:r w:rsidR="003556EB">
        <w:rPr>
          <w:snapToGrid w:val="0"/>
          <w:color w:val="000000"/>
        </w:rPr>
        <w:t xml:space="preserve">of FA </w:t>
      </w:r>
      <w:r>
        <w:rPr>
          <w:snapToGrid w:val="0"/>
          <w:color w:val="000000"/>
        </w:rPr>
        <w:t>in incubated samples will be determined by GC-c-IRMS. External standards and FA certified reference material</w:t>
      </w:r>
      <w:r w:rsidR="003556EB">
        <w:rPr>
          <w:snapToGrid w:val="0"/>
          <w:color w:val="000000"/>
        </w:rPr>
        <w:t>s</w:t>
      </w:r>
      <w:r>
        <w:rPr>
          <w:snapToGrid w:val="0"/>
          <w:color w:val="000000"/>
        </w:rPr>
        <w:t xml:space="preserve"> of known isotopic composition will be used for calibration.</w:t>
      </w:r>
    </w:p>
    <w:p w:rsidR="00AE2BD6" w:rsidRDefault="00AE2BD6" w:rsidP="00D0498F">
      <w:pPr>
        <w:pStyle w:val="Titre2"/>
      </w:pPr>
      <w:r>
        <w:t>Units</w:t>
      </w:r>
    </w:p>
    <w:p w:rsidR="0028446D" w:rsidRPr="0028446D" w:rsidRDefault="0028446D" w:rsidP="00536D58">
      <w:pPr>
        <w:pStyle w:val="Listepersonnellepuces"/>
        <w:tabs>
          <w:tab w:val="left" w:pos="3261"/>
        </w:tabs>
        <w:rPr>
          <w:lang w:val="fr-FR"/>
        </w:rPr>
      </w:pPr>
      <w:r w:rsidRPr="0028446D">
        <w:rPr>
          <w:lang w:val="fr-FR"/>
        </w:rPr>
        <w:t>FA concentrations</w:t>
      </w:r>
      <w:r w:rsidRPr="0028446D">
        <w:rPr>
          <w:lang w:val="fr-FR"/>
        </w:rPr>
        <w:tab/>
      </w:r>
      <w:r>
        <w:rPr>
          <w:lang w:val="fr-FR"/>
        </w:rPr>
        <w:t>µg</w:t>
      </w:r>
      <w:r w:rsidRPr="0028446D">
        <w:rPr>
          <w:lang w:val="fr-FR"/>
        </w:rPr>
        <w:t xml:space="preserve"> L</w:t>
      </w:r>
      <w:r w:rsidRPr="0028446D">
        <w:rPr>
          <w:vertAlign w:val="superscript"/>
          <w:lang w:val="fr-FR"/>
        </w:rPr>
        <w:t>–1</w:t>
      </w:r>
    </w:p>
    <w:p w:rsidR="0028446D" w:rsidRPr="0028446D" w:rsidRDefault="0028446D" w:rsidP="00536D58">
      <w:pPr>
        <w:pStyle w:val="Listepersonnellepuces"/>
        <w:tabs>
          <w:tab w:val="left" w:pos="3261"/>
        </w:tabs>
        <w:rPr>
          <w:lang w:val="fr-FR"/>
        </w:rPr>
      </w:pPr>
      <w:r w:rsidRPr="0028446D">
        <w:rPr>
          <w:rFonts w:cs="Arial"/>
          <w:lang w:val="fr-FR"/>
        </w:rPr>
        <w:t>FA production</w:t>
      </w:r>
      <w:r w:rsidRPr="0028446D">
        <w:rPr>
          <w:lang w:val="fr-FR"/>
        </w:rPr>
        <w:tab/>
        <w:t>µ</w:t>
      </w:r>
      <w:r>
        <w:rPr>
          <w:lang w:val="fr-FR"/>
        </w:rPr>
        <w:t>g</w:t>
      </w:r>
      <w:r w:rsidRPr="0028446D">
        <w:rPr>
          <w:lang w:val="fr-FR"/>
        </w:rPr>
        <w:t xml:space="preserve"> L</w:t>
      </w:r>
      <w:r w:rsidRPr="0028446D">
        <w:rPr>
          <w:vertAlign w:val="superscript"/>
          <w:lang w:val="fr-FR"/>
        </w:rPr>
        <w:t>–1</w:t>
      </w:r>
      <w:r w:rsidRPr="0028446D">
        <w:rPr>
          <w:lang w:val="fr-FR"/>
        </w:rPr>
        <w:t xml:space="preserve"> d</w:t>
      </w:r>
      <w:r w:rsidRPr="0028446D">
        <w:rPr>
          <w:vertAlign w:val="superscript"/>
        </w:rPr>
        <w:t>–1</w:t>
      </w:r>
    </w:p>
    <w:p w:rsidR="0028446D" w:rsidRPr="00536D58" w:rsidRDefault="0028446D" w:rsidP="00536D58">
      <w:pPr>
        <w:pStyle w:val="Listepersonnellepuces"/>
        <w:tabs>
          <w:tab w:val="left" w:pos="3261"/>
        </w:tabs>
      </w:pPr>
      <w:r w:rsidRPr="00536D58">
        <w:t>Microzooplankton</w:t>
      </w:r>
      <w:r w:rsidRPr="00536D58">
        <w:tab/>
        <w:t>cell numbers L</w:t>
      </w:r>
      <w:r w:rsidR="00536D58" w:rsidRPr="0028446D">
        <w:rPr>
          <w:vertAlign w:val="superscript"/>
        </w:rPr>
        <w:t>–1</w:t>
      </w:r>
      <w:r w:rsidRPr="00536D58">
        <w:t xml:space="preserve"> </w:t>
      </w:r>
      <w:r w:rsidR="00536D58" w:rsidRPr="00536D58">
        <w:t>for</w:t>
      </w:r>
      <w:r w:rsidR="00536D58">
        <w:t xml:space="preserve"> </w:t>
      </w:r>
      <w:r w:rsidR="00536D58" w:rsidRPr="00536D58">
        <w:t>each taxon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9C77C5" w:rsidRDefault="00C51B4E" w:rsidP="009C77C5">
      <w:pPr>
        <w:pStyle w:val="Paragraphestandard"/>
      </w:pPr>
      <w:r>
        <w:t xml:space="preserve">Post cruise sample treatment at home laboratory will include polar and neutral lipid separation and transmethylation. This </w:t>
      </w:r>
      <w:r w:rsidR="003556EB">
        <w:t>procedure will be performed for a</w:t>
      </w:r>
      <w:r w:rsidR="001F7690">
        <w:t>ll samples dedicated to FA determination.</w:t>
      </w:r>
    </w:p>
    <w:p w:rsidR="00AE2BD6" w:rsidRDefault="00AE2BD6" w:rsidP="00D0498F">
      <w:pPr>
        <w:pStyle w:val="Titre2"/>
      </w:pPr>
      <w:r w:rsidRPr="00AE2BD6">
        <w:lastRenderedPageBreak/>
        <w:t>Estimated Date of Delivery</w:t>
      </w:r>
    </w:p>
    <w:p w:rsidR="001F7690" w:rsidRPr="00F37334" w:rsidRDefault="001F7690" w:rsidP="00110A88">
      <w:pPr>
        <w:pStyle w:val="Paragraphestandard"/>
      </w:pPr>
      <w:r>
        <w:t xml:space="preserve">Analytical determination </w:t>
      </w:r>
      <w:r w:rsidRPr="00F37334">
        <w:t>is expected to be done during 2019. The final database will be available by the end of 2019.</w:t>
      </w:r>
    </w:p>
    <w:p w:rsidR="00AE2BD6" w:rsidRDefault="00D0498F" w:rsidP="00D0498F">
      <w:pPr>
        <w:pStyle w:val="Titre1"/>
      </w:pPr>
      <w:r w:rsidRPr="00D0498F">
        <w:t>BIBLIOGRAPHY</w:t>
      </w:r>
    </w:p>
    <w:p w:rsidR="009C77C5" w:rsidRDefault="009C77C5" w:rsidP="009C77C5">
      <w:pPr>
        <w:pStyle w:val="Rfrences"/>
        <w:rPr>
          <w:lang w:eastAsia="fr-FR"/>
        </w:rPr>
      </w:pPr>
    </w:p>
    <w:p w:rsidR="00110A88" w:rsidRDefault="008A79A4" w:rsidP="00110A88">
      <w:pPr>
        <w:pStyle w:val="bibliograph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8A79A4">
        <w:t>Folch J., Lees M., Stanley G.H.S., 1957. A simple methods for the isolation and purification of total lipids from animal tissues</w:t>
      </w:r>
      <w:r w:rsidR="00110A88">
        <w:t>.</w:t>
      </w:r>
      <w:r w:rsidRPr="008A79A4">
        <w:t xml:space="preserve"> </w:t>
      </w:r>
      <w:r w:rsidR="00110A88" w:rsidRPr="00110A88">
        <w:rPr>
          <w:i/>
        </w:rPr>
        <w:t>The Journal of Biological Chemistry</w:t>
      </w:r>
      <w:r w:rsidRPr="008A79A4">
        <w:rPr>
          <w:i/>
        </w:rPr>
        <w:t>.</w:t>
      </w:r>
      <w:r w:rsidRPr="008A79A4">
        <w:t xml:space="preserve">, </w:t>
      </w:r>
      <w:r w:rsidRPr="008A79A4">
        <w:rPr>
          <w:b/>
        </w:rPr>
        <w:t>226</w:t>
      </w:r>
      <w:r w:rsidRPr="008A79A4">
        <w:t>, 497–509.</w:t>
      </w:r>
    </w:p>
    <w:p w:rsidR="00110A88" w:rsidRDefault="00110A88" w:rsidP="00110A88">
      <w:pPr>
        <w:pStyle w:val="bibliograph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110A88" w:rsidRDefault="008A79A4" w:rsidP="00110A88">
      <w:pPr>
        <w:pStyle w:val="bibliograph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8A79A4">
        <w:t>Soudant P., Ryckeghem K.V., Marty Y., Moal J., Samain J.F., Sorgeloos P., 1999</w:t>
      </w:r>
      <w:r>
        <w:t xml:space="preserve">. </w:t>
      </w:r>
      <w:r w:rsidRPr="008A79A4">
        <w:t xml:space="preserve">Comparison of the lipid class and fatty acid composition between a reproductive cycle in the nature and a standart hatchery conditioning of the Pacific Oyster </w:t>
      </w:r>
      <w:r w:rsidRPr="008A79A4">
        <w:rPr>
          <w:i/>
        </w:rPr>
        <w:t>Crassostrea gigas</w:t>
      </w:r>
      <w:r w:rsidR="00110A88">
        <w:rPr>
          <w:i/>
        </w:rPr>
        <w:t>.</w:t>
      </w:r>
      <w:r w:rsidRPr="008A79A4">
        <w:t xml:space="preserve"> </w:t>
      </w:r>
      <w:r w:rsidRPr="008A79A4">
        <w:rPr>
          <w:i/>
        </w:rPr>
        <w:t>Comp</w:t>
      </w:r>
      <w:r w:rsidR="00110A88">
        <w:rPr>
          <w:i/>
        </w:rPr>
        <w:t>arative</w:t>
      </w:r>
      <w:r w:rsidRPr="008A79A4">
        <w:rPr>
          <w:i/>
        </w:rPr>
        <w:t xml:space="preserve"> Biochem</w:t>
      </w:r>
      <w:r w:rsidR="00110A88">
        <w:rPr>
          <w:i/>
        </w:rPr>
        <w:t>istry and</w:t>
      </w:r>
      <w:r w:rsidRPr="008A79A4">
        <w:rPr>
          <w:i/>
        </w:rPr>
        <w:t xml:space="preserve"> Physiol</w:t>
      </w:r>
      <w:r w:rsidR="00110A88">
        <w:rPr>
          <w:i/>
        </w:rPr>
        <w:t>ogy</w:t>
      </w:r>
      <w:r w:rsidRPr="008A79A4">
        <w:rPr>
          <w:i/>
        </w:rPr>
        <w:t xml:space="preserve"> B</w:t>
      </w:r>
      <w:r>
        <w:t xml:space="preserve">, </w:t>
      </w:r>
      <w:r w:rsidRPr="009C77C5">
        <w:rPr>
          <w:b/>
        </w:rPr>
        <w:t>123</w:t>
      </w:r>
      <w:r w:rsidR="009C77C5">
        <w:t xml:space="preserve">, </w:t>
      </w:r>
      <w:r w:rsidRPr="008A79A4">
        <w:t>209–222</w:t>
      </w:r>
      <w:r w:rsidR="009C77C5">
        <w:t>.</w:t>
      </w:r>
      <w:r w:rsidR="00110A88">
        <w:tab/>
      </w:r>
      <w:r w:rsidR="00110A88" w:rsidRPr="00110A88">
        <w:t xml:space="preserve"> </w:t>
      </w:r>
      <w:hyperlink r:id="rId14" w:history="1">
        <w:r w:rsidR="00110A88" w:rsidRPr="00110A88">
          <w:rPr>
            <w:rStyle w:val="Lienhypertexte"/>
          </w:rPr>
          <w:t>http://dx.doi.org/10.1016/S0305-0491(99)00063-2</w:t>
        </w:r>
      </w:hyperlink>
    </w:p>
    <w:p w:rsidR="00110A88" w:rsidRPr="00110A88" w:rsidRDefault="00110A88" w:rsidP="00110A88">
      <w:pPr>
        <w:pStyle w:val="bibliograph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Lienhypertexte"/>
        </w:rPr>
      </w:pPr>
      <w:r w:rsidRPr="00110A88">
        <w:rPr>
          <w:rStyle w:val="Lienhypertexte"/>
        </w:rPr>
        <w:t xml:space="preserve"> </w:t>
      </w:r>
    </w:p>
    <w:p w:rsidR="008A79A4" w:rsidRPr="00110A88" w:rsidRDefault="008A79A4" w:rsidP="00110A88">
      <w:pPr>
        <w:pStyle w:val="bibliographi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u w:val="single"/>
        </w:rPr>
      </w:pPr>
      <w:r w:rsidRPr="008A79A4">
        <w:t>Soudant</w:t>
      </w:r>
      <w:r w:rsidR="009C77C5" w:rsidRPr="009C77C5">
        <w:t xml:space="preserve"> </w:t>
      </w:r>
      <w:r w:rsidR="009C77C5" w:rsidRPr="008A79A4">
        <w:t>P.</w:t>
      </w:r>
      <w:r w:rsidRPr="008A79A4">
        <w:t>, Sanles</w:t>
      </w:r>
      <w:r w:rsidR="009C77C5" w:rsidRPr="009C77C5">
        <w:t xml:space="preserve"> </w:t>
      </w:r>
      <w:r w:rsidR="009C77C5" w:rsidRPr="008A79A4">
        <w:t>M.V.</w:t>
      </w:r>
      <w:r w:rsidRPr="008A79A4">
        <w:t>, Quere</w:t>
      </w:r>
      <w:r w:rsidR="009C77C5" w:rsidRPr="009C77C5">
        <w:t xml:space="preserve"> </w:t>
      </w:r>
      <w:r w:rsidR="009C77C5" w:rsidRPr="008A79A4">
        <w:t>C.</w:t>
      </w:r>
      <w:r w:rsidRPr="008A79A4">
        <w:t>, Le Coz</w:t>
      </w:r>
      <w:r w:rsidR="009C77C5" w:rsidRPr="009C77C5">
        <w:t xml:space="preserve"> </w:t>
      </w:r>
      <w:r w:rsidR="009C77C5" w:rsidRPr="008A79A4">
        <w:t>J.R.</w:t>
      </w:r>
      <w:r w:rsidRPr="008A79A4">
        <w:t>, Marty</w:t>
      </w:r>
      <w:r w:rsidR="009C77C5" w:rsidRPr="009C77C5">
        <w:t xml:space="preserve"> </w:t>
      </w:r>
      <w:r w:rsidR="009C77C5" w:rsidRPr="008A79A4">
        <w:t>Y.</w:t>
      </w:r>
      <w:r w:rsidRPr="008A79A4">
        <w:t>, Moal</w:t>
      </w:r>
      <w:r w:rsidR="009C77C5" w:rsidRPr="009C77C5">
        <w:t xml:space="preserve"> </w:t>
      </w:r>
      <w:r w:rsidR="009C77C5" w:rsidRPr="008A79A4">
        <w:t>J.</w:t>
      </w:r>
      <w:r w:rsidRPr="008A79A4">
        <w:t>, Samain</w:t>
      </w:r>
      <w:r w:rsidR="009C77C5" w:rsidRPr="009C77C5">
        <w:t xml:space="preserve"> </w:t>
      </w:r>
      <w:r w:rsidR="009C77C5" w:rsidRPr="008A79A4">
        <w:t>J.F.</w:t>
      </w:r>
      <w:r w:rsidRPr="008A79A4">
        <w:t>, Sorgeloos</w:t>
      </w:r>
      <w:r w:rsidR="009C77C5" w:rsidRPr="009C77C5">
        <w:t xml:space="preserve"> </w:t>
      </w:r>
      <w:r w:rsidR="009C77C5" w:rsidRPr="008A79A4">
        <w:t>P.</w:t>
      </w:r>
      <w:r w:rsidRPr="008A79A4">
        <w:t xml:space="preserve">, </w:t>
      </w:r>
      <w:r w:rsidR="009C77C5" w:rsidRPr="008A79A4">
        <w:t>2000</w:t>
      </w:r>
      <w:r w:rsidR="009C77C5">
        <w:t xml:space="preserve">. </w:t>
      </w:r>
      <w:r w:rsidRPr="008A79A4">
        <w:t xml:space="preserve">The use of lipid emulsions for sterol supplementation of spat of the Pacific oyster, </w:t>
      </w:r>
      <w:r w:rsidRPr="009C77C5">
        <w:rPr>
          <w:i/>
        </w:rPr>
        <w:t>Crassostrea gigas</w:t>
      </w:r>
      <w:r w:rsidR="00110A88">
        <w:t>.</w:t>
      </w:r>
      <w:r w:rsidRPr="008A79A4">
        <w:t xml:space="preserve"> </w:t>
      </w:r>
      <w:r w:rsidRPr="009C77C5">
        <w:rPr>
          <w:i/>
        </w:rPr>
        <w:t>Aquaculture</w:t>
      </w:r>
      <w:r w:rsidR="009C77C5">
        <w:t xml:space="preserve">, </w:t>
      </w:r>
      <w:r w:rsidRPr="009C77C5">
        <w:rPr>
          <w:b/>
        </w:rPr>
        <w:t>184</w:t>
      </w:r>
      <w:r w:rsidR="009C77C5">
        <w:t>,</w:t>
      </w:r>
      <w:r w:rsidRPr="008A79A4">
        <w:t xml:space="preserve"> 315–326</w:t>
      </w:r>
      <w:r w:rsidR="009C77C5">
        <w:t>.</w:t>
      </w:r>
      <w:r w:rsidR="00110A88">
        <w:tab/>
      </w:r>
      <w:r w:rsidR="00110A88">
        <w:br/>
      </w:r>
      <w:hyperlink r:id="rId15" w:history="1">
        <w:r w:rsidR="009C77C5" w:rsidRPr="00110A88">
          <w:rPr>
            <w:rStyle w:val="Lienhypertexte"/>
          </w:rPr>
          <w:t>http://dx.doi.org/10.1016/S0044-8486(99)00323-3</w:t>
        </w:r>
      </w:hyperlink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9EB" w:rsidRDefault="00DD39EB" w:rsidP="001400EB">
      <w:r>
        <w:separator/>
      </w:r>
    </w:p>
  </w:endnote>
  <w:endnote w:type="continuationSeparator" w:id="0">
    <w:p w:rsidR="00DD39EB" w:rsidRDefault="00DD39EB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9EB" w:rsidRDefault="00DD39EB" w:rsidP="001400EB">
      <w:r>
        <w:separator/>
      </w:r>
    </w:p>
  </w:footnote>
  <w:footnote w:type="continuationSeparator" w:id="0">
    <w:p w:rsidR="00DD39EB" w:rsidRDefault="00DD39EB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751E33" w:rsidTr="00105B87">
      <w:trPr>
        <w:trHeight w:val="867"/>
      </w:trPr>
      <w:tc>
        <w:tcPr>
          <w:tcW w:w="1287" w:type="dxa"/>
          <w:vAlign w:val="center"/>
        </w:tcPr>
        <w:p w:rsidR="00751E33" w:rsidRDefault="00751E33" w:rsidP="00751E33">
          <w:r>
            <w:rPr>
              <w:noProof/>
              <w:lang w:val="en-US"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751E33" w:rsidRPr="001400EB" w:rsidRDefault="00751E33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CE2744" w:rsidRDefault="00CE27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96B7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BA4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3A0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245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084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AA42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1E4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688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A0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8E669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248A4"/>
    <w:multiLevelType w:val="hybridMultilevel"/>
    <w:tmpl w:val="F86A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D7F2A"/>
    <w:multiLevelType w:val="hybridMultilevel"/>
    <w:tmpl w:val="599AC596"/>
    <w:lvl w:ilvl="0" w:tplc="F48A1CF6">
      <w:numFmt w:val="bullet"/>
      <w:lvlText w:val="•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77444C7"/>
    <w:multiLevelType w:val="hybridMultilevel"/>
    <w:tmpl w:val="59F6A06A"/>
    <w:lvl w:ilvl="0" w:tplc="ABA425E0">
      <w:start w:val="1"/>
      <w:numFmt w:val="bullet"/>
      <w:pStyle w:val="Listepersonnellepuces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F79F2"/>
    <w:multiLevelType w:val="hybridMultilevel"/>
    <w:tmpl w:val="7680AA02"/>
    <w:lvl w:ilvl="0" w:tplc="BC6277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628C8"/>
    <w:multiLevelType w:val="hybridMultilevel"/>
    <w:tmpl w:val="91806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08017A"/>
    <w:multiLevelType w:val="hybridMultilevel"/>
    <w:tmpl w:val="71646BF0"/>
    <w:lvl w:ilvl="0" w:tplc="AE4E74F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521955"/>
    <w:multiLevelType w:val="hybridMultilevel"/>
    <w:tmpl w:val="025035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D627EBC"/>
    <w:multiLevelType w:val="hybridMultilevel"/>
    <w:tmpl w:val="EBBC4220"/>
    <w:lvl w:ilvl="0" w:tplc="3F2A9BC8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1"/>
  </w:num>
  <w:num w:numId="5">
    <w:abstractNumId w:val="19"/>
  </w:num>
  <w:num w:numId="6">
    <w:abstractNumId w:val="18"/>
  </w:num>
  <w:num w:numId="7">
    <w:abstractNumId w:val="20"/>
  </w:num>
  <w:num w:numId="8">
    <w:abstractNumId w:val="10"/>
  </w:num>
  <w:num w:numId="9">
    <w:abstractNumId w:val="22"/>
  </w:num>
  <w:num w:numId="10">
    <w:abstractNumId w:val="14"/>
  </w:num>
  <w:num w:numId="11">
    <w:abstractNumId w:val="23"/>
  </w:num>
  <w:num w:numId="12">
    <w:abstractNumId w:val="16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44"/>
    <w:rsid w:val="00014568"/>
    <w:rsid w:val="00034B89"/>
    <w:rsid w:val="0007129B"/>
    <w:rsid w:val="00085EA4"/>
    <w:rsid w:val="000B72DC"/>
    <w:rsid w:val="000B79A5"/>
    <w:rsid w:val="000C13E9"/>
    <w:rsid w:val="000F0645"/>
    <w:rsid w:val="00110A88"/>
    <w:rsid w:val="00122EE9"/>
    <w:rsid w:val="001400EB"/>
    <w:rsid w:val="00174501"/>
    <w:rsid w:val="001D6F01"/>
    <w:rsid w:val="001F7690"/>
    <w:rsid w:val="00242833"/>
    <w:rsid w:val="00243BB3"/>
    <w:rsid w:val="002512B0"/>
    <w:rsid w:val="0028446D"/>
    <w:rsid w:val="002B513E"/>
    <w:rsid w:val="002C4EFD"/>
    <w:rsid w:val="002E62C0"/>
    <w:rsid w:val="002F5641"/>
    <w:rsid w:val="0032238E"/>
    <w:rsid w:val="003370DA"/>
    <w:rsid w:val="003421C5"/>
    <w:rsid w:val="00347739"/>
    <w:rsid w:val="0035228D"/>
    <w:rsid w:val="003556EB"/>
    <w:rsid w:val="00390C4D"/>
    <w:rsid w:val="003A6264"/>
    <w:rsid w:val="003D2B75"/>
    <w:rsid w:val="003E21D4"/>
    <w:rsid w:val="0044443B"/>
    <w:rsid w:val="004825D6"/>
    <w:rsid w:val="004875AB"/>
    <w:rsid w:val="004C0AF0"/>
    <w:rsid w:val="004F47EF"/>
    <w:rsid w:val="0050695D"/>
    <w:rsid w:val="005251DA"/>
    <w:rsid w:val="0053191D"/>
    <w:rsid w:val="00536D58"/>
    <w:rsid w:val="00546190"/>
    <w:rsid w:val="00590B44"/>
    <w:rsid w:val="005A1FAC"/>
    <w:rsid w:val="005A6C46"/>
    <w:rsid w:val="005C3343"/>
    <w:rsid w:val="005D5B47"/>
    <w:rsid w:val="005F39D3"/>
    <w:rsid w:val="0063297F"/>
    <w:rsid w:val="0064095B"/>
    <w:rsid w:val="00643B74"/>
    <w:rsid w:val="00644A30"/>
    <w:rsid w:val="006460CD"/>
    <w:rsid w:val="006B39B8"/>
    <w:rsid w:val="006C35AA"/>
    <w:rsid w:val="006D2B5E"/>
    <w:rsid w:val="006F6DA0"/>
    <w:rsid w:val="00751E33"/>
    <w:rsid w:val="00756709"/>
    <w:rsid w:val="00760ED3"/>
    <w:rsid w:val="008A79A4"/>
    <w:rsid w:val="008E6E83"/>
    <w:rsid w:val="009837EB"/>
    <w:rsid w:val="009C77C5"/>
    <w:rsid w:val="00A0401F"/>
    <w:rsid w:val="00A555A1"/>
    <w:rsid w:val="00AE2BD6"/>
    <w:rsid w:val="00AF6C9A"/>
    <w:rsid w:val="00B15C47"/>
    <w:rsid w:val="00B54973"/>
    <w:rsid w:val="00B936C4"/>
    <w:rsid w:val="00B95F85"/>
    <w:rsid w:val="00BA0B39"/>
    <w:rsid w:val="00BB20E4"/>
    <w:rsid w:val="00BF74E3"/>
    <w:rsid w:val="00C51B4E"/>
    <w:rsid w:val="00C54ED5"/>
    <w:rsid w:val="00C76F62"/>
    <w:rsid w:val="00C959A8"/>
    <w:rsid w:val="00CB284A"/>
    <w:rsid w:val="00CE2744"/>
    <w:rsid w:val="00D0498F"/>
    <w:rsid w:val="00D04B80"/>
    <w:rsid w:val="00D22385"/>
    <w:rsid w:val="00D26501"/>
    <w:rsid w:val="00D95330"/>
    <w:rsid w:val="00DD39EB"/>
    <w:rsid w:val="00DD78A1"/>
    <w:rsid w:val="00DF621F"/>
    <w:rsid w:val="00E556B2"/>
    <w:rsid w:val="00E56B92"/>
    <w:rsid w:val="00EB131E"/>
    <w:rsid w:val="00EC4908"/>
    <w:rsid w:val="00F3721F"/>
    <w:rsid w:val="00F41DB0"/>
    <w:rsid w:val="00F817FD"/>
    <w:rsid w:val="00FB3DF8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0A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paragraph" w:customStyle="1" w:styleId="Rfrences">
    <w:name w:val="Références"/>
    <w:basedOn w:val="Normal"/>
    <w:qFormat/>
    <w:rsid w:val="008A79A4"/>
    <w:pPr>
      <w:widowControl w:val="0"/>
      <w:ind w:left="993" w:hanging="993"/>
      <w:jc w:val="both"/>
    </w:pPr>
    <w:rPr>
      <w:rFonts w:ascii="Arial" w:hAnsi="Arial"/>
      <w:sz w:val="22"/>
      <w:szCs w:val="22"/>
      <w:lang w:val="en-US"/>
    </w:rPr>
  </w:style>
  <w:style w:type="table" w:customStyle="1" w:styleId="TableNormal">
    <w:name w:val="Table Normal"/>
    <w:rsid w:val="009837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9837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fr-FR"/>
    </w:rPr>
  </w:style>
  <w:style w:type="table" w:customStyle="1" w:styleId="perso1">
    <w:name w:val="perso1"/>
    <w:basedOn w:val="TableauNormal"/>
    <w:uiPriority w:val="99"/>
    <w:rsid w:val="00390C4D"/>
    <w:tblPr/>
  </w:style>
  <w:style w:type="table" w:styleId="TableauGrille4-Accentuation1">
    <w:name w:val="Grid Table 4 Accent 1"/>
    <w:basedOn w:val="TableauNormal"/>
    <w:uiPriority w:val="49"/>
    <w:rsid w:val="005F39D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epuces">
    <w:name w:val="List Bullet"/>
    <w:basedOn w:val="Normal"/>
    <w:uiPriority w:val="99"/>
    <w:unhideWhenUsed/>
    <w:rsid w:val="00B15C47"/>
    <w:pPr>
      <w:numPr>
        <w:numId w:val="17"/>
      </w:numPr>
      <w:spacing w:before="240"/>
      <w:ind w:left="357" w:hanging="357"/>
      <w:contextualSpacing/>
    </w:pPr>
    <w:rPr>
      <w:rFonts w:ascii="Arial" w:hAnsi="Arial" w:cs="Arial"/>
      <w:b/>
    </w:rPr>
  </w:style>
  <w:style w:type="paragraph" w:styleId="Listepuces2">
    <w:name w:val="List Bullet 2"/>
    <w:basedOn w:val="Normal"/>
    <w:uiPriority w:val="99"/>
    <w:unhideWhenUsed/>
    <w:rsid w:val="006B39B8"/>
    <w:pPr>
      <w:numPr>
        <w:numId w:val="16"/>
      </w:numPr>
      <w:tabs>
        <w:tab w:val="clear" w:pos="643"/>
      </w:tabs>
      <w:spacing w:before="120"/>
      <w:ind w:left="851" w:hanging="284"/>
    </w:pPr>
    <w:rPr>
      <w:rFonts w:ascii="Arial" w:hAnsi="Arial" w:cs="Arial"/>
      <w:snapToGrid w:val="0"/>
      <w:color w:val="000000"/>
    </w:rPr>
  </w:style>
  <w:style w:type="paragraph" w:customStyle="1" w:styleId="Listepersonnellepuces">
    <w:name w:val="Liste personnelle à puces"/>
    <w:rsid w:val="0028446D"/>
    <w:pPr>
      <w:numPr>
        <w:numId w:val="24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567" w:hanging="207"/>
    </w:pPr>
    <w:rPr>
      <w:rFonts w:ascii="Arial" w:eastAsia="Arial Unicode MS" w:hAnsi="Arial" w:cs="Arial Unicode MS"/>
      <w:color w:val="000000" w:themeColor="text1"/>
      <w:u w:color="FF0000"/>
      <w:bdr w:val="nil"/>
      <w:lang w:val="en-US" w:eastAsia="fr-FR"/>
    </w:rPr>
  </w:style>
  <w:style w:type="paragraph" w:customStyle="1" w:styleId="bibliographie">
    <w:name w:val="bibliographie"/>
    <w:rsid w:val="00110A88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993" w:hanging="993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fr-FR"/>
    </w:rPr>
  </w:style>
  <w:style w:type="paragraph" w:styleId="Index7">
    <w:name w:val="index 7"/>
    <w:basedOn w:val="Normal"/>
    <w:next w:val="Normal"/>
    <w:autoRedefine/>
    <w:uiPriority w:val="99"/>
    <w:unhideWhenUsed/>
    <w:rsid w:val="00110A88"/>
    <w:pPr>
      <w:ind w:left="1680" w:hanging="240"/>
    </w:pPr>
  </w:style>
  <w:style w:type="character" w:styleId="Mentionnonrsolue">
    <w:name w:val="Unresolved Mention"/>
    <w:basedOn w:val="Policepardfaut"/>
    <w:uiPriority w:val="99"/>
    <w:semiHidden/>
    <w:unhideWhenUsed/>
    <w:rsid w:val="00110A8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110A8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hyperlink" Target="mailto:marine.rem@hotma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yperlink" Target="mailto:marine.remize@univ-brest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dx.doi.org/10.1016/S0044-8486(99)00323-3" TargetMode="External"/><Relationship Id="rId10" Type="http://schemas.openxmlformats.org/officeDocument/2006/relationships/hyperlink" Target="mailto:marine.rem@hotmai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e.remize@univ-brest.fr" TargetMode="External"/><Relationship Id="rId14" Type="http://schemas.openxmlformats.org/officeDocument/2006/relationships/hyperlink" Target="http://dx.doi.org/10.1016/S0305-0491(99)00063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cp:lastPrinted>2018-07-03T07:26:00Z</cp:lastPrinted>
  <dcterms:created xsi:type="dcterms:W3CDTF">2018-07-05T09:59:00Z</dcterms:created>
  <dcterms:modified xsi:type="dcterms:W3CDTF">2018-07-05T09:59:00Z</dcterms:modified>
</cp:coreProperties>
</file>