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900E02">
        <w:rPr>
          <w:rFonts w:ascii="Arial" w:hAnsi="Arial" w:cs="Arial"/>
          <w:b/>
          <w:color w:val="0070C0"/>
          <w:lang w:val="en-US"/>
        </w:rPr>
        <w:t>C</w:t>
      </w:r>
      <w:r w:rsidR="00DD78A1" w:rsidRPr="00DD78A1">
        <w:rPr>
          <w:rFonts w:ascii="Arial" w:hAnsi="Arial" w:cs="Arial"/>
          <w:b/>
          <w:color w:val="0070C0"/>
          <w:lang w:val="en-US"/>
        </w:rPr>
        <w:t>alcifying plankton and particulate inorganic carbon</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95F85" w:rsidTr="00B95F85">
        <w:tc>
          <w:tcPr>
            <w:tcW w:w="1555" w:type="dxa"/>
          </w:tcPr>
          <w:p w:rsidR="00B95F85" w:rsidRPr="00B95F85" w:rsidRDefault="00B95F85" w:rsidP="00B95F85">
            <w:pPr>
              <w:spacing w:before="60"/>
              <w:rPr>
                <w:rFonts w:ascii="Arial" w:hAnsi="Arial" w:cs="Arial"/>
                <w:color w:val="000000" w:themeColor="text1"/>
                <w:lang w:val="en-US"/>
              </w:rPr>
            </w:pPr>
            <w:r w:rsidRPr="00B95F85">
              <w:rPr>
                <w:rFonts w:ascii="Arial" w:hAnsi="Arial" w:cs="Arial"/>
                <w:color w:val="000000" w:themeColor="text1"/>
                <w:lang w:val="en-US"/>
              </w:rPr>
              <w:t>Parameters:</w:t>
            </w:r>
          </w:p>
          <w:p w:rsidR="00B95F85" w:rsidRDefault="00B95F85">
            <w:pPr>
              <w:rPr>
                <w:rFonts w:ascii="Arial" w:hAnsi="Arial" w:cs="Arial"/>
                <w:color w:val="000000" w:themeColor="text1"/>
                <w:lang w:val="en-US"/>
              </w:rPr>
            </w:pPr>
          </w:p>
        </w:tc>
        <w:tc>
          <w:tcPr>
            <w:tcW w:w="7654" w:type="dxa"/>
          </w:tcPr>
          <w:p w:rsidR="00B95F85" w:rsidRPr="00B95F85" w:rsidRDefault="00B95F85" w:rsidP="00B95F85">
            <w:pPr>
              <w:pStyle w:val="Paragraphedeliste"/>
              <w:numPr>
                <w:ilvl w:val="0"/>
                <w:numId w:val="3"/>
              </w:numPr>
              <w:spacing w:before="60"/>
              <w:ind w:left="236"/>
              <w:contextualSpacing w:val="0"/>
              <w:rPr>
                <w:rFonts w:ascii="Arial" w:hAnsi="Arial" w:cs="Arial"/>
                <w:b/>
                <w:color w:val="0070C0"/>
                <w:lang w:val="en-US"/>
              </w:rPr>
            </w:pPr>
            <w:r w:rsidRPr="00B95F85">
              <w:rPr>
                <w:rFonts w:ascii="Arial" w:hAnsi="Arial" w:cs="Arial"/>
                <w:b/>
                <w:color w:val="0070C0"/>
                <w:lang w:val="en-US"/>
              </w:rPr>
              <w:t>Particulate inorganic carbon (</w:t>
            </w:r>
            <w:r>
              <w:rPr>
                <w:rFonts w:ascii="Arial" w:hAnsi="Arial" w:cs="Arial"/>
                <w:b/>
                <w:color w:val="0070C0"/>
                <w:lang w:val="en-US"/>
              </w:rPr>
              <w:t>PIC</w:t>
            </w:r>
            <w:r w:rsidRPr="00B95F85">
              <w:rPr>
                <w:rFonts w:ascii="Arial" w:hAnsi="Arial" w:cs="Arial"/>
                <w:b/>
                <w:color w:val="0070C0"/>
                <w:lang w:val="en-US"/>
              </w:rPr>
              <w:t>)</w:t>
            </w:r>
          </w:p>
          <w:p w:rsidR="00B95F85" w:rsidRPr="00B95F85" w:rsidRDefault="00B95F85" w:rsidP="0064095B">
            <w:pPr>
              <w:pStyle w:val="Paragraphedeliste"/>
              <w:numPr>
                <w:ilvl w:val="0"/>
                <w:numId w:val="3"/>
              </w:numPr>
              <w:spacing w:before="60"/>
              <w:ind w:left="238"/>
              <w:contextualSpacing w:val="0"/>
              <w:rPr>
                <w:rFonts w:ascii="Arial" w:hAnsi="Arial" w:cs="Arial"/>
                <w:b/>
                <w:color w:val="0070C0"/>
                <w:lang w:val="en-US"/>
              </w:rPr>
            </w:pPr>
            <w:r w:rsidRPr="00B95F85">
              <w:rPr>
                <w:rFonts w:ascii="Arial" w:hAnsi="Arial" w:cs="Arial"/>
                <w:b/>
                <w:color w:val="0070C0"/>
                <w:lang w:val="en-US"/>
              </w:rPr>
              <w:t>Coccolithophorid taxonomy/diversity</w:t>
            </w:r>
          </w:p>
          <w:p w:rsidR="00B95F85" w:rsidRPr="00B95F85" w:rsidRDefault="00B95F85" w:rsidP="00B95F85">
            <w:pPr>
              <w:pStyle w:val="Paragraphedeliste"/>
              <w:numPr>
                <w:ilvl w:val="0"/>
                <w:numId w:val="3"/>
              </w:numPr>
              <w:spacing w:before="60"/>
              <w:ind w:left="236"/>
              <w:contextualSpacing w:val="0"/>
              <w:rPr>
                <w:rFonts w:ascii="Arial" w:hAnsi="Arial" w:cs="Arial"/>
                <w:b/>
                <w:color w:val="0070C0"/>
                <w:lang w:val="en-US"/>
              </w:rPr>
            </w:pPr>
            <w:r w:rsidRPr="00B95F85">
              <w:rPr>
                <w:rFonts w:ascii="Arial" w:hAnsi="Arial" w:cs="Arial"/>
                <w:b/>
                <w:color w:val="0070C0"/>
                <w:lang w:val="en-US"/>
              </w:rPr>
              <w:t>Coccolithophorid calcite weight</w:t>
            </w:r>
          </w:p>
          <w:p w:rsidR="00B95F85" w:rsidRPr="00B95F85" w:rsidRDefault="00B95F85" w:rsidP="0064095B">
            <w:pPr>
              <w:pStyle w:val="Paragraphedeliste"/>
              <w:numPr>
                <w:ilvl w:val="0"/>
                <w:numId w:val="3"/>
              </w:numPr>
              <w:spacing w:before="60"/>
              <w:ind w:left="238"/>
              <w:contextualSpacing w:val="0"/>
              <w:rPr>
                <w:rFonts w:ascii="Arial" w:hAnsi="Arial" w:cs="Arial"/>
                <w:b/>
                <w:color w:val="0070C0"/>
                <w:lang w:val="en-US"/>
              </w:rPr>
            </w:pPr>
            <w:r w:rsidRPr="00B95F85">
              <w:rPr>
                <w:rFonts w:ascii="Arial" w:hAnsi="Arial" w:cs="Arial"/>
                <w:b/>
                <w:color w:val="0070C0"/>
                <w:lang w:val="en-US"/>
              </w:rPr>
              <w:t>Foraminifer taxonomy/diversity/morphometry</w:t>
            </w:r>
          </w:p>
          <w:p w:rsidR="00B95F85" w:rsidRPr="00B95F85" w:rsidRDefault="00B95F85" w:rsidP="00B95F85">
            <w:pPr>
              <w:pStyle w:val="Paragraphedeliste"/>
              <w:numPr>
                <w:ilvl w:val="0"/>
                <w:numId w:val="3"/>
              </w:numPr>
              <w:spacing w:before="60"/>
              <w:ind w:left="236"/>
              <w:contextualSpacing w:val="0"/>
              <w:rPr>
                <w:rFonts w:ascii="Arial" w:hAnsi="Arial" w:cs="Arial"/>
                <w:b/>
                <w:color w:val="0070C0"/>
                <w:lang w:val="en-US"/>
              </w:rPr>
            </w:pPr>
            <w:r w:rsidRPr="00B95F85">
              <w:rPr>
                <w:rFonts w:ascii="Arial" w:hAnsi="Arial" w:cs="Arial"/>
                <w:b/>
                <w:color w:val="0070C0"/>
                <w:lang w:val="en-US"/>
              </w:rPr>
              <w:t>Foraminifer calcite weight</w:t>
            </w: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DD78A1" w:rsidRPr="00DD78A1" w:rsidRDefault="00DD78A1" w:rsidP="00DD78A1">
      <w:pPr>
        <w:ind w:left="2410" w:hanging="2410"/>
        <w:rPr>
          <w:rFonts w:ascii="Arial" w:hAnsi="Arial" w:cs="Arial"/>
          <w:lang w:val="en-US"/>
        </w:rPr>
      </w:pPr>
      <w:r>
        <w:rPr>
          <w:rFonts w:ascii="Arial" w:hAnsi="Arial" w:cs="Arial"/>
          <w:lang w:val="en-US"/>
        </w:rPr>
        <w:t>Parameter supervisor</w:t>
      </w:r>
      <w:r w:rsidRPr="00DD78A1">
        <w:rPr>
          <w:rFonts w:ascii="Arial" w:hAnsi="Arial" w:cs="Arial"/>
          <w:lang w:val="en-US"/>
        </w:rPr>
        <w:t>:</w:t>
      </w:r>
      <w:r w:rsidRPr="00DD78A1">
        <w:rPr>
          <w:rFonts w:ascii="Arial" w:hAnsi="Arial" w:cs="Arial"/>
          <w:lang w:val="en-US"/>
        </w:rPr>
        <w:tab/>
      </w:r>
      <w:r w:rsidRPr="00DD78A1">
        <w:rPr>
          <w:rFonts w:ascii="Arial" w:eastAsia="Arial Unicode MS" w:hAnsi="Arial" w:cs="Arial"/>
          <w:b/>
          <w:color w:val="0070C0"/>
          <w:lang w:val="en-US"/>
        </w:rPr>
        <w:t>Thibault de Garidel-Thoron</w:t>
      </w:r>
    </w:p>
    <w:p w:rsidR="00DD78A1" w:rsidRPr="00DD78A1" w:rsidRDefault="00DD78A1" w:rsidP="00DD78A1">
      <w:pPr>
        <w:ind w:left="2410"/>
        <w:rPr>
          <w:rFonts w:ascii="Arial" w:hAnsi="Arial" w:cs="Arial"/>
        </w:rPr>
      </w:pPr>
      <w:r w:rsidRPr="00DD78A1">
        <w:rPr>
          <w:rFonts w:ascii="Arial" w:eastAsia="Arial Unicode MS" w:hAnsi="Arial" w:cs="Arial"/>
        </w:rPr>
        <w:t>CEREGE</w:t>
      </w:r>
    </w:p>
    <w:p w:rsidR="00DD78A1" w:rsidRPr="00DD78A1" w:rsidRDefault="00DD78A1" w:rsidP="00DD78A1">
      <w:pPr>
        <w:ind w:left="2410"/>
        <w:rPr>
          <w:rFonts w:ascii="Arial" w:hAnsi="Arial" w:cs="Arial"/>
        </w:rPr>
      </w:pPr>
      <w:r w:rsidRPr="00DD78A1">
        <w:rPr>
          <w:rFonts w:ascii="Arial" w:eastAsia="Arial Unicode MS" w:hAnsi="Arial" w:cs="Arial"/>
        </w:rPr>
        <w:t>Technopole Arbois Méditerranée, BP80</w:t>
      </w:r>
    </w:p>
    <w:p w:rsidR="00DD78A1" w:rsidRPr="00DD78A1" w:rsidRDefault="00DD78A1" w:rsidP="00DD78A1">
      <w:pPr>
        <w:ind w:left="2410"/>
        <w:rPr>
          <w:rFonts w:ascii="Arial" w:hAnsi="Arial" w:cs="Arial"/>
        </w:rPr>
      </w:pPr>
      <w:r w:rsidRPr="00DD78A1">
        <w:rPr>
          <w:rFonts w:ascii="Arial" w:eastAsia="Arial Unicode MS" w:hAnsi="Arial" w:cs="Arial"/>
        </w:rPr>
        <w:t>13545 Aix en Provence cedex 4</w:t>
      </w:r>
      <w:r>
        <w:rPr>
          <w:rFonts w:ascii="Arial" w:eastAsia="Arial Unicode MS" w:hAnsi="Arial" w:cs="Arial"/>
        </w:rPr>
        <w:t xml:space="preserve">, </w:t>
      </w:r>
      <w:r w:rsidRPr="00DD78A1">
        <w:rPr>
          <w:rFonts w:ascii="Arial" w:eastAsia="Arial Unicode MS" w:hAnsi="Arial" w:cs="Arial"/>
        </w:rPr>
        <w:t>France</w:t>
      </w:r>
    </w:p>
    <w:p w:rsidR="00DD78A1" w:rsidRPr="00DD78A1" w:rsidRDefault="00DD78A1" w:rsidP="00DD78A1">
      <w:pPr>
        <w:ind w:left="2410"/>
        <w:rPr>
          <w:rFonts w:ascii="Arial" w:hAnsi="Arial" w:cs="Arial"/>
          <w:lang w:val="en-US"/>
        </w:rPr>
      </w:pPr>
      <w:r w:rsidRPr="00DD78A1">
        <w:rPr>
          <w:rFonts w:ascii="Arial" w:eastAsia="Arial Unicode MS" w:hAnsi="Arial" w:cs="Arial"/>
          <w:lang w:val="en-US"/>
        </w:rPr>
        <w:t>+33 (0)6 85 02 71 43</w:t>
      </w:r>
    </w:p>
    <w:p w:rsidR="00DD78A1" w:rsidRPr="00DD78A1" w:rsidRDefault="00A05738" w:rsidP="00DD78A1">
      <w:pPr>
        <w:ind w:left="2410"/>
        <w:rPr>
          <w:rFonts w:ascii="Arial" w:eastAsia="Arial Unicode MS" w:hAnsi="Arial" w:cs="Arial"/>
          <w:lang w:val="en-US"/>
        </w:rPr>
      </w:pPr>
      <w:hyperlink r:id="rId9" w:history="1">
        <w:r w:rsidR="00DD78A1" w:rsidRPr="00DD78A1">
          <w:rPr>
            <w:rStyle w:val="Lienhypertexte"/>
            <w:rFonts w:ascii="Arial" w:eastAsia="Arial Unicode MS" w:hAnsi="Arial" w:cs="Arial"/>
            <w:lang w:val="en-US"/>
          </w:rPr>
          <w:t>garidel@cerege.fr</w:t>
        </w:r>
      </w:hyperlink>
    </w:p>
    <w:p w:rsidR="00DD78A1" w:rsidRPr="00DD78A1" w:rsidRDefault="00DD78A1" w:rsidP="00DD78A1">
      <w:pPr>
        <w:ind w:left="1843"/>
        <w:rPr>
          <w:rFonts w:ascii="Arial" w:hAnsi="Arial" w:cs="Arial"/>
          <w:lang w:val="en-US"/>
        </w:rPr>
      </w:pPr>
    </w:p>
    <w:p w:rsidR="00DD78A1" w:rsidRPr="00DD78A1" w:rsidRDefault="00DD78A1" w:rsidP="00DD78A1">
      <w:pPr>
        <w:ind w:left="2410" w:hanging="2410"/>
        <w:rPr>
          <w:rFonts w:ascii="Arial" w:hAnsi="Arial" w:cs="Arial"/>
          <w:lang w:val="en-US"/>
        </w:rPr>
      </w:pPr>
      <w:r w:rsidRPr="00DD78A1">
        <w:rPr>
          <w:rFonts w:ascii="Arial" w:hAnsi="Arial" w:cs="Arial"/>
          <w:lang w:val="en-US"/>
        </w:rPr>
        <w:t>Dataset contact:</w:t>
      </w:r>
      <w:r w:rsidRPr="00DD78A1">
        <w:rPr>
          <w:rFonts w:ascii="Arial" w:hAnsi="Arial" w:cs="Arial"/>
          <w:lang w:val="en-US"/>
        </w:rPr>
        <w:tab/>
      </w:r>
      <w:r w:rsidRPr="00DD78A1">
        <w:rPr>
          <w:rFonts w:ascii="Arial" w:eastAsia="Arial Unicode MS" w:hAnsi="Arial" w:cs="Arial"/>
          <w:b/>
          <w:color w:val="0070C0"/>
          <w:lang w:val="en-US"/>
        </w:rPr>
        <w:t>Thibault de Garidel-Thoron</w:t>
      </w:r>
    </w:p>
    <w:p w:rsidR="00DD78A1" w:rsidRPr="00DD78A1" w:rsidRDefault="00DD78A1" w:rsidP="00DD78A1">
      <w:pPr>
        <w:ind w:left="2410"/>
        <w:rPr>
          <w:rFonts w:ascii="Arial" w:hAnsi="Arial" w:cs="Arial"/>
        </w:rPr>
      </w:pPr>
      <w:r w:rsidRPr="00DD78A1">
        <w:rPr>
          <w:rFonts w:ascii="Arial" w:eastAsia="Arial Unicode MS" w:hAnsi="Arial" w:cs="Arial"/>
        </w:rPr>
        <w:t>CEREGE</w:t>
      </w:r>
    </w:p>
    <w:p w:rsidR="00DD78A1" w:rsidRPr="00DD78A1" w:rsidRDefault="00DD78A1" w:rsidP="00DD78A1">
      <w:pPr>
        <w:ind w:left="2410"/>
        <w:rPr>
          <w:rFonts w:ascii="Arial" w:hAnsi="Arial" w:cs="Arial"/>
        </w:rPr>
      </w:pPr>
      <w:r w:rsidRPr="00DD78A1">
        <w:rPr>
          <w:rFonts w:ascii="Arial" w:eastAsia="Arial Unicode MS" w:hAnsi="Arial" w:cs="Arial"/>
        </w:rPr>
        <w:t>Technopole Arbois Méditerranée, BP80</w:t>
      </w:r>
    </w:p>
    <w:p w:rsidR="00DD78A1" w:rsidRPr="00DD78A1" w:rsidRDefault="00DD78A1" w:rsidP="00DD78A1">
      <w:pPr>
        <w:ind w:left="2410"/>
        <w:rPr>
          <w:rFonts w:ascii="Arial" w:hAnsi="Arial" w:cs="Arial"/>
        </w:rPr>
      </w:pPr>
      <w:r w:rsidRPr="00DD78A1">
        <w:rPr>
          <w:rFonts w:ascii="Arial" w:eastAsia="Arial Unicode MS" w:hAnsi="Arial" w:cs="Arial"/>
        </w:rPr>
        <w:t>13545 Aix en Provence cedex 4</w:t>
      </w:r>
      <w:r>
        <w:rPr>
          <w:rFonts w:ascii="Arial" w:eastAsia="Arial Unicode MS" w:hAnsi="Arial" w:cs="Arial"/>
        </w:rPr>
        <w:t xml:space="preserve">, </w:t>
      </w:r>
      <w:r w:rsidRPr="00DD78A1">
        <w:rPr>
          <w:rFonts w:ascii="Arial" w:eastAsia="Arial Unicode MS" w:hAnsi="Arial" w:cs="Arial"/>
        </w:rPr>
        <w:t>France</w:t>
      </w:r>
    </w:p>
    <w:p w:rsidR="00DD78A1" w:rsidRPr="00DD78A1" w:rsidRDefault="00DD78A1" w:rsidP="00DD78A1">
      <w:pPr>
        <w:ind w:left="2410"/>
        <w:rPr>
          <w:rFonts w:ascii="Arial" w:hAnsi="Arial" w:cs="Arial"/>
        </w:rPr>
      </w:pPr>
      <w:r w:rsidRPr="00DD78A1">
        <w:rPr>
          <w:rFonts w:ascii="Arial" w:eastAsia="Arial Unicode MS" w:hAnsi="Arial" w:cs="Arial"/>
        </w:rPr>
        <w:t>+33</w:t>
      </w:r>
      <w:r>
        <w:rPr>
          <w:rFonts w:ascii="Arial" w:eastAsia="Arial Unicode MS" w:hAnsi="Arial" w:cs="Arial"/>
        </w:rPr>
        <w:t xml:space="preserve"> (0)</w:t>
      </w:r>
      <w:r w:rsidRPr="00DD78A1">
        <w:rPr>
          <w:rFonts w:ascii="Arial" w:eastAsia="Arial Unicode MS" w:hAnsi="Arial" w:cs="Arial"/>
        </w:rPr>
        <w:t>6 85 02 71 43</w:t>
      </w:r>
    </w:p>
    <w:p w:rsidR="00DD78A1" w:rsidRDefault="00A05738" w:rsidP="00DD78A1">
      <w:pPr>
        <w:ind w:left="2410"/>
        <w:rPr>
          <w:rFonts w:ascii="Arial" w:eastAsia="Arial Unicode MS" w:hAnsi="Arial" w:cs="Arial"/>
        </w:rPr>
      </w:pPr>
      <w:hyperlink r:id="rId10" w:history="1">
        <w:r w:rsidR="00DD78A1" w:rsidRPr="00B3682F">
          <w:rPr>
            <w:rStyle w:val="Lienhypertexte"/>
            <w:rFonts w:ascii="Arial" w:eastAsia="Arial Unicode MS" w:hAnsi="Arial" w:cs="Arial"/>
          </w:rPr>
          <w:t>garidel@cerege.fr</w:t>
        </w:r>
      </w:hyperlink>
    </w:p>
    <w:p w:rsidR="002F5641" w:rsidRDefault="002F5641" w:rsidP="00DD78A1">
      <w:pPr>
        <w:ind w:left="2410" w:hanging="993"/>
        <w:rPr>
          <w:rFonts w:ascii="Arial" w:hAnsi="Arial" w:cs="Arial"/>
        </w:rPr>
        <w:sectPr w:rsidR="002F5641" w:rsidSect="00751E33">
          <w:headerReference w:type="first" r:id="rId11"/>
          <w:pgSz w:w="11900" w:h="16840"/>
          <w:pgMar w:top="1613" w:right="1417" w:bottom="1417" w:left="1417" w:header="447" w:footer="708" w:gutter="0"/>
          <w:cols w:space="708"/>
          <w:titlePg/>
          <w:docGrid w:linePitch="360"/>
        </w:sectPr>
      </w:pPr>
    </w:p>
    <w:p w:rsidR="00DD78A1" w:rsidRPr="00DD78A1" w:rsidRDefault="00DD78A1" w:rsidP="00DD78A1">
      <w:pPr>
        <w:ind w:left="2410" w:hanging="993"/>
        <w:rPr>
          <w:rFonts w:ascii="Arial"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EC4908" w:rsidRPr="00EC4908" w:rsidRDefault="00EC4908" w:rsidP="00EC4908">
      <w:pPr>
        <w:pStyle w:val="Paragraphestandard"/>
      </w:pPr>
      <w:r w:rsidRPr="00EC4908">
        <w:t>Water for PIC, coccolithophorid diversity, and coccolithophorid calcite weigth were sampled from the rosette bottles. Samples for foraminiferal diversity, foraminiferal calcite weight and morphometry were obtained from MultiNet tows.</w:t>
      </w:r>
    </w:p>
    <w:p w:rsidR="00EC4908" w:rsidRPr="00EC4908" w:rsidRDefault="00EC4908" w:rsidP="00EC4908">
      <w:pPr>
        <w:rPr>
          <w:lang w:val="en-US"/>
        </w:rPr>
      </w:pPr>
    </w:p>
    <w:p w:rsidR="002F5641" w:rsidRDefault="002F5641" w:rsidP="00D0498F">
      <w:pPr>
        <w:pStyle w:val="Titre2"/>
      </w:pPr>
      <w:r w:rsidRPr="002F5641">
        <w:t>List of stations sampled</w:t>
      </w:r>
    </w:p>
    <w:p w:rsidR="00EC4908" w:rsidRPr="00EC4908" w:rsidRDefault="00EC4908" w:rsidP="00CE2744">
      <w:pPr>
        <w:spacing w:before="120" w:after="120"/>
        <w:jc w:val="center"/>
        <w:rPr>
          <w:b/>
          <w:lang w:val="en-US"/>
        </w:rPr>
      </w:pPr>
      <w:r w:rsidRPr="00EC4908">
        <w:rPr>
          <w:b/>
          <w:lang w:val="en-US"/>
        </w:rPr>
        <w:t>Table 1 : MultiNet casts for foraminiferal assemblages and morphological features</w:t>
      </w:r>
    </w:p>
    <w:tbl>
      <w:tblPr>
        <w:tblW w:w="7271"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189"/>
        <w:gridCol w:w="1240"/>
        <w:gridCol w:w="661"/>
        <w:gridCol w:w="2561"/>
        <w:gridCol w:w="1620"/>
      </w:tblGrid>
      <w:tr w:rsidR="00CE2744" w:rsidTr="00EF34A4">
        <w:trPr>
          <w:trHeight w:val="397"/>
          <w:jc w:val="center"/>
        </w:trPr>
        <w:tc>
          <w:tcPr>
            <w:tcW w:w="1189" w:type="dxa"/>
            <w:tcBorders>
              <w:top w:val="nil"/>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s>
              <w:spacing w:line="240" w:lineRule="atLeast"/>
              <w:jc w:val="center"/>
              <w:outlineLvl w:val="0"/>
            </w:pPr>
            <w:r>
              <w:rPr>
                <w:rFonts w:ascii="Calibri" w:eastAsia="Arial Unicode MS" w:hAnsi="Calibri" w:cs="Arial Unicode MS"/>
                <w:b/>
                <w:bCs/>
                <w:color w:val="FFFFFF"/>
                <w:sz w:val="20"/>
                <w:szCs w:val="20"/>
              </w:rPr>
              <w:t>Station ID</w:t>
            </w:r>
          </w:p>
        </w:tc>
        <w:tc>
          <w:tcPr>
            <w:tcW w:w="1240" w:type="dxa"/>
            <w:tcBorders>
              <w:top w:val="nil"/>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s>
              <w:spacing w:line="240" w:lineRule="atLeast"/>
              <w:jc w:val="center"/>
              <w:outlineLvl w:val="0"/>
            </w:pPr>
            <w:r>
              <w:rPr>
                <w:rFonts w:ascii="Calibri" w:eastAsia="Arial Unicode MS" w:hAnsi="Calibri" w:cs="Arial Unicode MS"/>
                <w:b/>
                <w:bCs/>
                <w:color w:val="FFFFFF"/>
                <w:sz w:val="20"/>
                <w:szCs w:val="20"/>
              </w:rPr>
              <w:t>Cast ID</w:t>
            </w:r>
          </w:p>
        </w:tc>
        <w:tc>
          <w:tcPr>
            <w:tcW w:w="661" w:type="dxa"/>
            <w:tcBorders>
              <w:top w:val="nil"/>
              <w:bottom w:val="single" w:sz="8" w:space="0" w:color="FFFFFF"/>
            </w:tcBorders>
            <w:shd w:val="clear" w:color="auto" w:fill="4F81BD"/>
            <w:tcMar>
              <w:top w:w="20" w:type="dxa"/>
              <w:left w:w="20" w:type="dxa"/>
              <w:bottom w:w="0" w:type="dxa"/>
              <w:right w:w="20" w:type="dxa"/>
            </w:tcMar>
            <w:vAlign w:val="center"/>
          </w:tcPr>
          <w:p w:rsidR="00CE2744" w:rsidRDefault="00CE2744" w:rsidP="00CE2744">
            <w:pPr>
              <w:spacing w:line="240" w:lineRule="atLeast"/>
              <w:jc w:val="center"/>
              <w:outlineLvl w:val="0"/>
            </w:pPr>
            <w:r>
              <w:rPr>
                <w:rFonts w:ascii="Calibri" w:eastAsia="Arial Unicode MS" w:hAnsi="Calibri" w:cs="Arial Unicode MS"/>
                <w:b/>
                <w:bCs/>
                <w:color w:val="FFFFFF"/>
                <w:sz w:val="20"/>
                <w:szCs w:val="20"/>
              </w:rPr>
              <w:t>Tow #</w:t>
            </w:r>
          </w:p>
        </w:tc>
        <w:tc>
          <w:tcPr>
            <w:tcW w:w="2561" w:type="dxa"/>
            <w:tcBorders>
              <w:top w:val="nil"/>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 w:val="left" w:pos="1440"/>
                <w:tab w:val="left" w:pos="2160"/>
              </w:tabs>
              <w:spacing w:line="240" w:lineRule="atLeast"/>
              <w:jc w:val="center"/>
              <w:outlineLvl w:val="0"/>
            </w:pPr>
            <w:r>
              <w:rPr>
                <w:rFonts w:ascii="Calibri" w:eastAsia="Arial Unicode MS" w:hAnsi="Calibri" w:cs="Arial Unicode MS"/>
                <w:b/>
                <w:bCs/>
                <w:color w:val="FFFFFF"/>
                <w:sz w:val="20"/>
                <w:szCs w:val="20"/>
              </w:rPr>
              <w:t>Cast ID TG</w:t>
            </w:r>
          </w:p>
        </w:tc>
        <w:tc>
          <w:tcPr>
            <w:tcW w:w="1620" w:type="dxa"/>
            <w:tcBorders>
              <w:top w:val="nil"/>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 w:val="left" w:pos="1440"/>
              </w:tabs>
              <w:spacing w:line="240" w:lineRule="atLeast"/>
              <w:jc w:val="center"/>
              <w:outlineLvl w:val="0"/>
            </w:pPr>
            <w:r>
              <w:rPr>
                <w:rFonts w:ascii="Calibri" w:eastAsia="Arial Unicode MS" w:hAnsi="Calibri" w:cs="Arial Unicode MS"/>
                <w:b/>
                <w:bCs/>
                <w:color w:val="FFFFFF"/>
                <w:sz w:val="20"/>
                <w:szCs w:val="20"/>
              </w:rPr>
              <w:t>Max depth (m)</w:t>
            </w:r>
          </w:p>
        </w:tc>
      </w:tr>
      <w:tr w:rsidR="00CE2744" w:rsidTr="00EF34A4">
        <w:tblPrEx>
          <w:shd w:val="clear" w:color="auto" w:fill="CED7E7"/>
        </w:tblPrEx>
        <w:trPr>
          <w:trHeight w:val="397"/>
          <w:jc w:val="center"/>
        </w:trPr>
        <w:tc>
          <w:tcPr>
            <w:tcW w:w="1189"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M2_1</w:t>
            </w:r>
          </w:p>
        </w:tc>
        <w:tc>
          <w:tcPr>
            <w:tcW w:w="124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MultiNet_001</w:t>
            </w:r>
          </w:p>
        </w:tc>
        <w:tc>
          <w:tcPr>
            <w:tcW w:w="66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MobyDick_MPS_M2_1_T1</w:t>
            </w:r>
          </w:p>
        </w:tc>
        <w:tc>
          <w:tcPr>
            <w:tcW w:w="162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450</w:t>
            </w:r>
          </w:p>
        </w:tc>
      </w:tr>
      <w:tr w:rsidR="00CE2744" w:rsidTr="00EF34A4">
        <w:tblPrEx>
          <w:shd w:val="clear" w:color="auto" w:fill="CED7E7"/>
        </w:tblPrEx>
        <w:trPr>
          <w:trHeight w:val="397"/>
          <w:jc w:val="center"/>
        </w:trPr>
        <w:tc>
          <w:tcPr>
            <w:tcW w:w="1189"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M2_1</w:t>
            </w:r>
          </w:p>
        </w:tc>
        <w:tc>
          <w:tcPr>
            <w:tcW w:w="1240"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MultiNet_002</w:t>
            </w:r>
          </w:p>
        </w:tc>
        <w:tc>
          <w:tcPr>
            <w:tcW w:w="661"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MobyDick_MPS_M2_1_T2</w:t>
            </w:r>
          </w:p>
        </w:tc>
        <w:tc>
          <w:tcPr>
            <w:tcW w:w="1620"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M4_1</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MultiNet_003</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MobyDick_MPS_M4_1_T1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500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M4_1</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MultiNet_004</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MobyDick_MPS_M4_1_T2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M3</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MultiNet_005</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MobyDick_MPS_M3_T1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500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M3</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MultiNet_006</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MobyDick_MPS_M3_T2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M2_2</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MultiNet_007</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MobyDick_MPS_M2_2_T1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400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M2_2</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MultiNet_008</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MobyDick_MPS_M2_2_T2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M1</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MultiNet_009</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MobyDick_MPS_M1_T1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500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M1</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MultiNet_010</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MobyDick_MPS_M1_T2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tcBorders>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M4_2</w:t>
            </w:r>
          </w:p>
        </w:tc>
        <w:tc>
          <w:tcPr>
            <w:tcW w:w="1240" w:type="dxa"/>
            <w:tcBorders>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MultiNet_011</w:t>
            </w:r>
          </w:p>
        </w:tc>
        <w:tc>
          <w:tcPr>
            <w:tcW w:w="661" w:type="dxa"/>
            <w:tcBorders>
              <w:bottom w:val="single" w:sz="8" w:space="0" w:color="FFFFFF"/>
            </w:tcBorders>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tcBorders>
              <w:bottom w:val="single" w:sz="8" w:space="0" w:color="FFFFFF"/>
            </w:tcBorders>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MobyDick_MPS_M4_2_T1</w:t>
            </w:r>
          </w:p>
        </w:tc>
        <w:tc>
          <w:tcPr>
            <w:tcW w:w="1620" w:type="dxa"/>
            <w:tcBorders>
              <w:bottom w:val="single" w:sz="8" w:space="0" w:color="FFFFFF"/>
            </w:tcBorders>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500</w:t>
            </w:r>
          </w:p>
        </w:tc>
      </w:tr>
      <w:tr w:rsidR="00CE2744" w:rsidTr="00CE2744">
        <w:tblPrEx>
          <w:shd w:val="clear" w:color="auto" w:fill="CED7E7"/>
        </w:tblPrEx>
        <w:trPr>
          <w:trHeight w:val="397"/>
          <w:jc w:val="center"/>
        </w:trPr>
        <w:tc>
          <w:tcPr>
            <w:tcW w:w="1189"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M4_2</w:t>
            </w:r>
          </w:p>
        </w:tc>
        <w:tc>
          <w:tcPr>
            <w:tcW w:w="1240"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MultiNet_012</w:t>
            </w:r>
          </w:p>
        </w:tc>
        <w:tc>
          <w:tcPr>
            <w:tcW w:w="661"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MobyDick_MPS_M4_2_T2</w:t>
            </w:r>
          </w:p>
        </w:tc>
        <w:tc>
          <w:tcPr>
            <w:tcW w:w="1620" w:type="dxa"/>
            <w:tcBorders>
              <w:top w:val="single" w:sz="8" w:space="0" w:color="FFFFFF"/>
            </w:tcBorders>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M2_3</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MultiNet_013</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MobyDick_MPS_M2_3_T1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400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M2_3</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MultiNet_014</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MobyDick_MPS_M2_3_T2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r w:rsidR="00CE2744" w:rsidTr="00CE2744">
        <w:tblPrEx>
          <w:shd w:val="clear" w:color="auto" w:fill="CED7E7"/>
        </w:tblPrEx>
        <w:trPr>
          <w:trHeight w:val="397"/>
          <w:jc w:val="center"/>
        </w:trPr>
        <w:tc>
          <w:tcPr>
            <w:tcW w:w="1189"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M3_3</w:t>
            </w:r>
          </w:p>
        </w:tc>
        <w:tc>
          <w:tcPr>
            <w:tcW w:w="1240" w:type="dxa"/>
            <w:shd w:val="clear" w:color="auto" w:fill="CED7E7"/>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MultiNet_015</w:t>
            </w:r>
          </w:p>
        </w:tc>
        <w:tc>
          <w:tcPr>
            <w:tcW w:w="661"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T1</w:t>
            </w:r>
          </w:p>
        </w:tc>
        <w:tc>
          <w:tcPr>
            <w:tcW w:w="2561" w:type="dxa"/>
            <w:shd w:val="clear" w:color="auto" w:fill="CED7E7"/>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MobyDick_MPS_M3_3_T1</w:t>
            </w:r>
          </w:p>
        </w:tc>
        <w:tc>
          <w:tcPr>
            <w:tcW w:w="1620" w:type="dxa"/>
            <w:shd w:val="clear" w:color="auto" w:fill="CED7E7"/>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490</w:t>
            </w:r>
          </w:p>
        </w:tc>
      </w:tr>
      <w:tr w:rsidR="00CE2744" w:rsidTr="00CE2744">
        <w:tblPrEx>
          <w:shd w:val="clear" w:color="auto" w:fill="CED7E7"/>
        </w:tblPrEx>
        <w:trPr>
          <w:trHeight w:val="397"/>
          <w:jc w:val="center"/>
        </w:trPr>
        <w:tc>
          <w:tcPr>
            <w:tcW w:w="1189"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M3_3</w:t>
            </w:r>
          </w:p>
        </w:tc>
        <w:tc>
          <w:tcPr>
            <w:tcW w:w="1240" w:type="dxa"/>
            <w:shd w:val="clear" w:color="auto" w:fill="E8ECF3"/>
            <w:tcMar>
              <w:top w:w="20" w:type="dxa"/>
              <w:left w:w="20" w:type="dxa"/>
              <w:bottom w:w="0" w:type="dxa"/>
              <w:right w:w="20" w:type="dxa"/>
            </w:tcMar>
            <w:vAlign w:val="center"/>
          </w:tcPr>
          <w:p w:rsidR="00CE2744" w:rsidRDefault="00CE2744" w:rsidP="006D2B5E">
            <w:pPr>
              <w:tabs>
                <w:tab w:val="left" w:pos="720"/>
              </w:tabs>
              <w:jc w:val="center"/>
              <w:outlineLvl w:val="0"/>
            </w:pPr>
            <w:r>
              <w:rPr>
                <w:rFonts w:ascii="Calibri" w:eastAsia="Arial Unicode MS" w:hAnsi="Calibri" w:cs="Arial Unicode MS"/>
                <w:sz w:val="20"/>
                <w:szCs w:val="20"/>
              </w:rPr>
              <w:t>MultiNet_016</w:t>
            </w:r>
          </w:p>
        </w:tc>
        <w:tc>
          <w:tcPr>
            <w:tcW w:w="661"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T2</w:t>
            </w:r>
          </w:p>
        </w:tc>
        <w:tc>
          <w:tcPr>
            <w:tcW w:w="2561" w:type="dxa"/>
            <w:shd w:val="clear" w:color="auto" w:fill="E8ECF3"/>
            <w:tcMar>
              <w:top w:w="20" w:type="dxa"/>
              <w:left w:w="20" w:type="dxa"/>
              <w:bottom w:w="0" w:type="dxa"/>
              <w:right w:w="20" w:type="dxa"/>
            </w:tcMar>
            <w:vAlign w:val="center"/>
          </w:tcPr>
          <w:p w:rsidR="00CE2744" w:rsidRDefault="00CE2744" w:rsidP="006D2B5E">
            <w:pPr>
              <w:tabs>
                <w:tab w:val="left" w:pos="720"/>
                <w:tab w:val="left" w:pos="1440"/>
                <w:tab w:val="left" w:pos="2160"/>
              </w:tabs>
              <w:jc w:val="center"/>
              <w:outlineLvl w:val="0"/>
            </w:pPr>
            <w:r>
              <w:rPr>
                <w:rFonts w:ascii="Calibri" w:eastAsia="Arial Unicode MS" w:hAnsi="Calibri" w:cs="Arial Unicode MS"/>
                <w:sz w:val="20"/>
                <w:szCs w:val="20"/>
              </w:rPr>
              <w:t>MobyDick_MPS_M3_3_T2</w:t>
            </w:r>
          </w:p>
        </w:tc>
        <w:tc>
          <w:tcPr>
            <w:tcW w:w="1620" w:type="dxa"/>
            <w:shd w:val="clear" w:color="auto" w:fill="E8ECF3"/>
            <w:tcMar>
              <w:top w:w="20" w:type="dxa"/>
              <w:left w:w="20" w:type="dxa"/>
              <w:bottom w:w="0" w:type="dxa"/>
              <w:right w:w="20" w:type="dxa"/>
            </w:tcMar>
            <w:vAlign w:val="center"/>
          </w:tcPr>
          <w:p w:rsidR="00CE2744" w:rsidRDefault="00CE2744" w:rsidP="006D2B5E">
            <w:pPr>
              <w:jc w:val="center"/>
              <w:outlineLvl w:val="0"/>
            </w:pPr>
            <w:r>
              <w:rPr>
                <w:rFonts w:ascii="Calibri" w:eastAsia="Arial Unicode MS" w:hAnsi="Calibri" w:cs="Arial Unicode MS"/>
                <w:sz w:val="20"/>
                <w:szCs w:val="20"/>
              </w:rPr>
              <w:t>100</w:t>
            </w:r>
          </w:p>
        </w:tc>
      </w:tr>
    </w:tbl>
    <w:p w:rsidR="00EC4908" w:rsidRDefault="00EC4908" w:rsidP="00EC4908">
      <w:pPr>
        <w:rPr>
          <w:lang w:val="en-US"/>
        </w:rPr>
      </w:pPr>
    </w:p>
    <w:p w:rsidR="00CE2744" w:rsidRDefault="00CE2744">
      <w:pPr>
        <w:rPr>
          <w:b/>
          <w:lang w:val="en-US"/>
        </w:rPr>
      </w:pPr>
      <w:r>
        <w:rPr>
          <w:b/>
          <w:lang w:val="en-US"/>
        </w:rPr>
        <w:br w:type="page"/>
      </w:r>
    </w:p>
    <w:p w:rsidR="00CE2744" w:rsidRPr="00CE2744" w:rsidRDefault="00CE2744" w:rsidP="00CE2744">
      <w:pPr>
        <w:spacing w:before="120" w:after="120"/>
        <w:jc w:val="center"/>
        <w:rPr>
          <w:b/>
          <w:lang w:val="en-US"/>
        </w:rPr>
      </w:pPr>
      <w:r w:rsidRPr="00CE2744">
        <w:rPr>
          <w:b/>
          <w:lang w:val="en-US"/>
        </w:rPr>
        <w:lastRenderedPageBreak/>
        <w:t>Table 2 : summary of MultiNet 100 µm plankton nets</w:t>
      </w:r>
    </w:p>
    <w:tbl>
      <w:tblPr>
        <w:tblW w:w="9688" w:type="dxa"/>
        <w:tblInd w:w="1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F81BD"/>
        <w:tblLayout w:type="fixed"/>
        <w:tblLook w:val="04A0" w:firstRow="1" w:lastRow="0" w:firstColumn="1" w:lastColumn="0" w:noHBand="0" w:noVBand="1"/>
      </w:tblPr>
      <w:tblGrid>
        <w:gridCol w:w="1571"/>
        <w:gridCol w:w="2847"/>
        <w:gridCol w:w="1232"/>
        <w:gridCol w:w="770"/>
        <w:gridCol w:w="3268"/>
      </w:tblGrid>
      <w:tr w:rsidR="00CE2744" w:rsidTr="00CE2744">
        <w:trPr>
          <w:trHeight w:val="397"/>
        </w:trPr>
        <w:tc>
          <w:tcPr>
            <w:tcW w:w="1571" w:type="dxa"/>
            <w:tcBorders>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b/>
                <w:bCs/>
                <w:color w:val="FFFFFF"/>
                <w:sz w:val="20"/>
                <w:szCs w:val="20"/>
              </w:rPr>
              <w:t>Cast_ID</w:t>
            </w:r>
          </w:p>
        </w:tc>
        <w:tc>
          <w:tcPr>
            <w:tcW w:w="2847" w:type="dxa"/>
            <w:tcBorders>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b/>
                <w:bCs/>
                <w:color w:val="FFFFFF"/>
                <w:sz w:val="20"/>
                <w:szCs w:val="20"/>
              </w:rPr>
              <w:t>Cast_ID_CEREGE</w:t>
            </w:r>
          </w:p>
        </w:tc>
        <w:tc>
          <w:tcPr>
            <w:tcW w:w="1232" w:type="dxa"/>
            <w:tcBorders>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b/>
                <w:bCs/>
                <w:color w:val="FFFFFF"/>
                <w:sz w:val="20"/>
                <w:szCs w:val="20"/>
              </w:rPr>
              <w:t>Station_ID</w:t>
            </w:r>
          </w:p>
        </w:tc>
        <w:tc>
          <w:tcPr>
            <w:tcW w:w="770" w:type="dxa"/>
            <w:tcBorders>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b/>
                <w:bCs/>
                <w:color w:val="FFFFFF"/>
                <w:sz w:val="20"/>
                <w:szCs w:val="20"/>
              </w:rPr>
              <w:t>Net_#</w:t>
            </w:r>
          </w:p>
        </w:tc>
        <w:tc>
          <w:tcPr>
            <w:tcW w:w="3268" w:type="dxa"/>
            <w:tcBorders>
              <w:bottom w:val="single" w:sz="8" w:space="0" w:color="FFFFFF"/>
            </w:tcBorders>
            <w:shd w:val="clear" w:color="auto" w:fill="4F81BD"/>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b/>
                <w:bCs/>
                <w:color w:val="FFFFFF"/>
                <w:sz w:val="20"/>
                <w:szCs w:val="20"/>
              </w:rPr>
              <w:t>Net_ID</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MobyDick_MPS_M2_1_T1_N1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MobyDick_MPS_M2_1_T1_N2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MobyDick_MPS_M2_1_T1_N3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MobyDick_MPS_M2_1_T1_N4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MobyDick_MPS_M2_1_T1_N5</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MobyDick_MPS_M2_1_T2_N1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MobyDick_MPS_M2_1_T2_N2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MobyDick_MPS_M2_1_T2_N3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MobyDick_MPS_M2_1_T2_N4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MobyDick_MPS_M2_1_T2_N5</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MobyDick_MPS_M4_1_T1_N1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MobyDick_MPS_M4_1_T1_N2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MobyDick_MPS_M4_1_T1_N3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MobyDick_MPS_M4_1_T1_N4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MobyDick_MPS_M4_1_T1_N5</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MobyDick_MPS_M4_1_T2_N1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MobyDick_MPS_M4_1_T2_N2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MobyDick_MPS_M4_1_T2_N3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MobyDick_MPS_M4_1_T2_N4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MobyDick_MPS_M4_1_T2_N5</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MobyDick_MPS_M3_T1_N1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MobyDick_MPS_M3_T1_N2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MobyDick_MPS_M3_T1_N3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MobyDick_MPS_M3_T1_N4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MobyDick_MPS_M3_T1_N5</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MobyDick_MPS_M3_T2_N1</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MobyDick_MPS_M3_T2_N2</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MobyDick_MPS_M3_T2_N3</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MobyDick_MPS_M3_T2_N4</w:t>
            </w:r>
          </w:p>
        </w:tc>
      </w:tr>
      <w:tr w:rsidR="00CE2744" w:rsidTr="00CE2744">
        <w:tblPrEx>
          <w:shd w:val="clear" w:color="auto" w:fill="CED7E7"/>
        </w:tblPrEx>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MobyDick_MPS_M3_T2_N5</w:t>
            </w:r>
          </w:p>
        </w:tc>
      </w:tr>
    </w:tbl>
    <w:p w:rsidR="00751E33" w:rsidRPr="00CE2744" w:rsidRDefault="00751E33" w:rsidP="00751E33">
      <w:pPr>
        <w:pageBreakBefore/>
        <w:spacing w:before="120" w:after="120"/>
        <w:jc w:val="center"/>
        <w:rPr>
          <w:b/>
          <w:lang w:val="en-US"/>
        </w:rPr>
      </w:pPr>
      <w:r w:rsidRPr="00CE2744">
        <w:rPr>
          <w:b/>
          <w:lang w:val="en-US"/>
        </w:rPr>
        <w:lastRenderedPageBreak/>
        <w:t>Table 2 : summary of MultiNet 100 µm plankton nets</w:t>
      </w:r>
      <w:r>
        <w:rPr>
          <w:b/>
          <w:lang w:val="en-US"/>
        </w:rPr>
        <w:t xml:space="preserve"> (cont'd)</w:t>
      </w:r>
    </w:p>
    <w:tbl>
      <w:tblPr>
        <w:tblW w:w="9688" w:type="dxa"/>
        <w:tblInd w:w="1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ayout w:type="fixed"/>
        <w:tblLook w:val="04A0" w:firstRow="1" w:lastRow="0" w:firstColumn="1" w:lastColumn="0" w:noHBand="0" w:noVBand="1"/>
      </w:tblPr>
      <w:tblGrid>
        <w:gridCol w:w="1571"/>
        <w:gridCol w:w="2847"/>
        <w:gridCol w:w="1232"/>
        <w:gridCol w:w="770"/>
        <w:gridCol w:w="3268"/>
      </w:tblGrid>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MultiNet_007</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MobyDick_MPS_M2_2_T1_N1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MultiNet_007</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MobyDick_MPS_M2_2_T1_N2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MultiNet_007</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MobyDick_MPS_M2_2_T1_N3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MultiNet_007</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MobyDick_MPS_M2_2_T1_N4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MultiNet_007</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MobyDick_MPS_M2_2_T1_N5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MultiNet_008</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MobyDick_MPS_M2_2_T2_N1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MultiNet_008</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MobyDick_MPS_M2_2_T2_N2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MultiNet_008</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MultiNet_008</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MobyDick_MPS_M2_2_T2_N4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MultiNet_008</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MobyDick_MPS_M2_2_T2_N5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MultiNet_009</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MobyDick_MPS_M1_T1_N1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MultiNet_009</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MobyDick_MPS_M1_T1_N2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MultiNet_009</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MobyDick_MPS_M1_T1_N3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MultiNet_009</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MobyDick_MPS_M1_T1_N4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MultiNet_009</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MobyDick_MPS_M1_T1_N5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MultiNet_010</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MobyDick_MPS_M1_T2_N1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MultiNet_010</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MobyDick_MPS_M1_T2_N2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MultiNet_010</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MultiNet_010</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MobyDick_MPS_M1_T2_N4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MultiNet_010</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MobyDick_MPS_M1_T2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M1</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MobyDick_MPS_M1_T2_N5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MobyDick_MPS_M4_2_T1_N1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MobyDick_MPS_M4_2_T1_N2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MobyDick_MPS_M4_2_T1_N3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MobyDick_MPS_M4_2_T1_N4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MultiNet_011</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MobyDick_MPS_M4_2_T1_N5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MobyDick_MPS_M4_2_T2_N1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MobyDick_MPS_M4_2_T2_N2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MobyDick_MPS_M4_2_T2_N4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MultiNet_012</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MobyDick_MPS_M4_2_T2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M4_2</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MobyDick_MPS_M4_2_T2_N5</w:t>
            </w:r>
          </w:p>
        </w:tc>
      </w:tr>
    </w:tbl>
    <w:p w:rsidR="00751E33" w:rsidRPr="00CE2744" w:rsidRDefault="00751E33" w:rsidP="00751E33">
      <w:pPr>
        <w:pageBreakBefore/>
        <w:spacing w:before="120" w:after="120"/>
        <w:jc w:val="center"/>
        <w:rPr>
          <w:b/>
          <w:lang w:val="en-US"/>
        </w:rPr>
      </w:pPr>
      <w:r w:rsidRPr="00CE2744">
        <w:rPr>
          <w:b/>
          <w:lang w:val="en-US"/>
        </w:rPr>
        <w:lastRenderedPageBreak/>
        <w:t>Table 2 : summary of MultiNet 100 µm plankton nets</w:t>
      </w:r>
      <w:r>
        <w:rPr>
          <w:b/>
          <w:lang w:val="en-US"/>
        </w:rPr>
        <w:t xml:space="preserve"> (cont'd)</w:t>
      </w:r>
    </w:p>
    <w:tbl>
      <w:tblPr>
        <w:tblW w:w="9688" w:type="dxa"/>
        <w:tblInd w:w="1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ayout w:type="fixed"/>
        <w:tblLook w:val="04A0" w:firstRow="1" w:lastRow="0" w:firstColumn="1" w:lastColumn="0" w:noHBand="0" w:noVBand="1"/>
      </w:tblPr>
      <w:tblGrid>
        <w:gridCol w:w="1571"/>
        <w:gridCol w:w="2847"/>
        <w:gridCol w:w="1232"/>
        <w:gridCol w:w="770"/>
        <w:gridCol w:w="3268"/>
      </w:tblGrid>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MobyDick_MPS_M2_3_T1_N1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MobyDick_MPS_M2_3_T1_N2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MobyDick_MPS_M2_3_T1_N3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MobyDick_MPS_M2_3_T1_N4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MultiNet_013</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MobyDick_MPS_M2_3_T1_N5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1</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MobyDick_MPS_M2_3_T2_N1</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MobyDick_MPS_M2_3_T2_N2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MobyDick_MPS_M2_3_T2_N4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MultiNet_014</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MobyDick_MPS_M2_3_T2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M2_3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MobyDick_MPS_M2_3_T2_N5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MobyDick_MPS_M3_3_T1</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MobyDick_MPS_M3_3_T1_N2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MobyDick_MPS_M3_3_T2</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MobyDick_MPS_M3_3_T3</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MobyDick_MPS_M3_3_T3_N4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MultiNet_015</w:t>
            </w:r>
          </w:p>
        </w:tc>
        <w:tc>
          <w:tcPr>
            <w:tcW w:w="28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MobyDick_MPS_M3_3_T4</w:t>
            </w:r>
          </w:p>
        </w:tc>
        <w:tc>
          <w:tcPr>
            <w:tcW w:w="123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MobyDick_MPS_M3_3_T4_N5</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2</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MobyDick_MPS_M3_3_T2_N2</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3</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MobyDick_MPS_M3_3_T2_N3</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4</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MobyDick_MPS_M3_3_T2_N4</w:t>
            </w:r>
          </w:p>
        </w:tc>
      </w:tr>
      <w:tr w:rsidR="00CE2744" w:rsidTr="00CE2744">
        <w:trPr>
          <w:trHeight w:val="397"/>
        </w:trPr>
        <w:tc>
          <w:tcPr>
            <w:tcW w:w="1571" w:type="dxa"/>
            <w:tcBorders>
              <w:top w:val="single" w:sz="8" w:space="0" w:color="FFFFFF"/>
              <w:left w:val="nil"/>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s>
              <w:outlineLvl w:val="0"/>
            </w:pPr>
            <w:r>
              <w:rPr>
                <w:rFonts w:ascii="Calibri" w:eastAsia="Arial Unicode MS" w:hAnsi="Calibri" w:cs="Arial Unicode MS"/>
                <w:sz w:val="20"/>
                <w:szCs w:val="20"/>
              </w:rPr>
              <w:t>MultiNet_016</w:t>
            </w:r>
          </w:p>
        </w:tc>
        <w:tc>
          <w:tcPr>
            <w:tcW w:w="2847"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s>
              <w:outlineLvl w:val="0"/>
            </w:pPr>
            <w:r>
              <w:rPr>
                <w:rFonts w:ascii="Calibri" w:eastAsia="Arial Unicode MS" w:hAnsi="Calibri" w:cs="Arial Unicode MS"/>
                <w:sz w:val="20"/>
                <w:szCs w:val="20"/>
              </w:rPr>
              <w:t>MobyDick_MPS_M3_3_T2</w:t>
            </w:r>
          </w:p>
        </w:tc>
        <w:tc>
          <w:tcPr>
            <w:tcW w:w="1232"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s>
              <w:outlineLvl w:val="0"/>
            </w:pPr>
            <w:r>
              <w:rPr>
                <w:rFonts w:ascii="Calibri" w:eastAsia="Arial Unicode MS" w:hAnsi="Calibri" w:cs="Arial Unicode MS"/>
                <w:sz w:val="20"/>
                <w:szCs w:val="20"/>
              </w:rPr>
              <w:t>M3_3</w:t>
            </w:r>
          </w:p>
        </w:tc>
        <w:tc>
          <w:tcPr>
            <w:tcW w:w="770"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outlineLvl w:val="0"/>
            </w:pPr>
            <w:r>
              <w:rPr>
                <w:rFonts w:ascii="Calibri" w:eastAsia="Arial Unicode MS" w:hAnsi="Calibri" w:cs="Arial Unicode MS"/>
                <w:sz w:val="20"/>
                <w:szCs w:val="20"/>
              </w:rPr>
              <w:t>5</w:t>
            </w:r>
          </w:p>
        </w:tc>
        <w:tc>
          <w:tcPr>
            <w:tcW w:w="3268" w:type="dxa"/>
            <w:tcBorders>
              <w:top w:val="single" w:sz="8" w:space="0" w:color="FFFFFF"/>
              <w:left w:val="single" w:sz="8" w:space="0" w:color="FFFFFF"/>
              <w:bottom w:val="single" w:sz="8" w:space="0" w:color="FFFFFF"/>
              <w:right w:val="single" w:sz="8" w:space="0" w:color="FFFFFF"/>
            </w:tcBorders>
            <w:shd w:val="clear" w:color="auto" w:fill="E8ECF3"/>
            <w:tcMar>
              <w:top w:w="20" w:type="dxa"/>
              <w:left w:w="20" w:type="dxa"/>
              <w:bottom w:w="0" w:type="dxa"/>
              <w:right w:w="20" w:type="dxa"/>
            </w:tcMar>
            <w:vAlign w:val="center"/>
          </w:tcPr>
          <w:p w:rsidR="00CE2744" w:rsidRDefault="00CE2744" w:rsidP="00CE2744">
            <w:pPr>
              <w:tabs>
                <w:tab w:val="left" w:pos="720"/>
                <w:tab w:val="left" w:pos="1440"/>
                <w:tab w:val="left" w:pos="2160"/>
                <w:tab w:val="left" w:pos="2880"/>
              </w:tabs>
              <w:outlineLvl w:val="0"/>
            </w:pPr>
            <w:r>
              <w:rPr>
                <w:rFonts w:ascii="Calibri" w:eastAsia="Arial Unicode MS" w:hAnsi="Calibri" w:cs="Arial Unicode MS"/>
                <w:sz w:val="20"/>
                <w:szCs w:val="20"/>
              </w:rPr>
              <w:t>MobyDick_MPS_M3_3_T2_N5</w:t>
            </w:r>
          </w:p>
        </w:tc>
      </w:tr>
    </w:tbl>
    <w:p w:rsidR="00CE2744" w:rsidRDefault="0035228D" w:rsidP="00D0498F">
      <w:pPr>
        <w:pStyle w:val="Titre1"/>
      </w:pPr>
      <w:r>
        <w:t>INSTRUMENTS</w:t>
      </w:r>
    </w:p>
    <w:p w:rsidR="0035228D" w:rsidRPr="0035228D" w:rsidRDefault="0035228D" w:rsidP="0035228D">
      <w:pPr>
        <w:pStyle w:val="Paragraphestandard"/>
        <w:ind w:left="2410" w:hanging="1985"/>
      </w:pPr>
      <w:r w:rsidRPr="0035228D">
        <w:t>Instrument Type:</w:t>
      </w:r>
      <w:r>
        <w:tab/>
      </w:r>
      <w:r w:rsidRPr="0035228D">
        <w:rPr>
          <w:b/>
        </w:rPr>
        <w:t>MultiNet</w:t>
      </w:r>
    </w:p>
    <w:p w:rsidR="0035228D" w:rsidRPr="0035228D" w:rsidRDefault="0035228D" w:rsidP="0035228D">
      <w:pPr>
        <w:pStyle w:val="Paragraphestandard"/>
        <w:ind w:left="2410" w:hanging="1985"/>
      </w:pPr>
      <w:r w:rsidRPr="0035228D">
        <w:t>Manufacturer:</w:t>
      </w:r>
      <w:r>
        <w:tab/>
      </w:r>
      <w:r w:rsidRPr="0035228D">
        <w:rPr>
          <w:b/>
        </w:rPr>
        <w:t>HydroBios</w:t>
      </w:r>
    </w:p>
    <w:p w:rsidR="0035228D" w:rsidRPr="0035228D" w:rsidRDefault="0035228D" w:rsidP="0035228D">
      <w:pPr>
        <w:pStyle w:val="Paragraphestandard"/>
        <w:ind w:left="2410" w:hanging="1985"/>
      </w:pPr>
      <w:r w:rsidRPr="0035228D">
        <w:t>Model:</w:t>
      </w:r>
      <w:r>
        <w:tab/>
      </w:r>
      <w:r w:rsidRPr="0035228D">
        <w:rPr>
          <w:b/>
        </w:rPr>
        <w:t>Midi</w:t>
      </w:r>
    </w:p>
    <w:p w:rsidR="0035228D" w:rsidRDefault="0035228D" w:rsidP="0035228D">
      <w:pPr>
        <w:pStyle w:val="Paragraphestandard"/>
        <w:rPr>
          <w:b/>
        </w:rPr>
      </w:pPr>
      <w:r w:rsidRPr="0035228D">
        <w:t>Instrument Features / Calibration:</w:t>
      </w:r>
      <w:r>
        <w:t xml:space="preserve"> </w:t>
      </w:r>
      <w:r w:rsidRPr="0035228D">
        <w:rPr>
          <w:b/>
        </w:rPr>
        <w:t>N/A</w:t>
      </w:r>
    </w:p>
    <w:p w:rsidR="00AE2BD6" w:rsidRPr="0035228D" w:rsidRDefault="00AE2BD6" w:rsidP="00D0498F">
      <w:pPr>
        <w:pStyle w:val="Titre1"/>
      </w:pPr>
      <w:r>
        <w:t>DESCRIPTION of PARAMETERS</w:t>
      </w:r>
    </w:p>
    <w:p w:rsidR="0035228D" w:rsidRDefault="00AE2BD6" w:rsidP="00D0498F">
      <w:pPr>
        <w:pStyle w:val="Titre2"/>
      </w:pPr>
      <w:r>
        <w:t>Sampling details</w:t>
      </w:r>
    </w:p>
    <w:p w:rsidR="00AE2BD6" w:rsidRDefault="00AE2BD6" w:rsidP="00AE2BD6">
      <w:pPr>
        <w:pStyle w:val="Paragraphestandard"/>
        <w:rPr>
          <w:rFonts w:eastAsia="Arial" w:cs="Arial"/>
        </w:rPr>
      </w:pPr>
      <w:r>
        <w:rPr>
          <w:b/>
          <w:bCs/>
        </w:rPr>
        <w:t>Particulate inorganic calcite</w:t>
      </w:r>
      <w:r>
        <w:t>: At each station, between 2.5 to 4.5 L water samples were taken at each depth from</w:t>
      </w:r>
      <w:r w:rsidR="00F41DB0">
        <w:t xml:space="preserve"> the</w:t>
      </w:r>
      <w:r>
        <w:t xml:space="preserve"> "stock" rosette. Water was filtered onto GF/F filters and stored in the freezer (</w:t>
      </w:r>
      <w:r w:rsidR="00F41DB0">
        <w:t>–</w:t>
      </w:r>
      <w:r>
        <w:t>20°C) right after filtration.</w:t>
      </w:r>
    </w:p>
    <w:p w:rsidR="00AE2BD6" w:rsidRDefault="00AE2BD6" w:rsidP="00AE2BD6">
      <w:pPr>
        <w:pStyle w:val="Paragraphestandard"/>
        <w:rPr>
          <w:rFonts w:eastAsia="Arial" w:cs="Arial"/>
        </w:rPr>
      </w:pPr>
      <w:r>
        <w:rPr>
          <w:b/>
          <w:bCs/>
        </w:rPr>
        <w:t>Coccolithophorid assemblages, size</w:t>
      </w:r>
      <w:r w:rsidR="005C3343">
        <w:rPr>
          <w:b/>
          <w:bCs/>
        </w:rPr>
        <w:t>s</w:t>
      </w:r>
      <w:r>
        <w:rPr>
          <w:b/>
          <w:bCs/>
        </w:rPr>
        <w:t xml:space="preserve"> and weight</w:t>
      </w:r>
      <w:r w:rsidR="005C3343">
        <w:rPr>
          <w:b/>
          <w:bCs/>
        </w:rPr>
        <w:t>s</w:t>
      </w:r>
      <w:r>
        <w:t xml:space="preserve">: Seawater samples were collected </w:t>
      </w:r>
      <w:r w:rsidR="00F41DB0">
        <w:t xml:space="preserve">from the "stock" rosette </w:t>
      </w:r>
      <w:r>
        <w:t>to assess the biodiversity of coccolithophorids, their biovolume and their liths</w:t>
      </w:r>
      <w:r w:rsidR="00F41DB0">
        <w:t>'</w:t>
      </w:r>
      <w:r>
        <w:t xml:space="preserve"> weight. At each station, between 1.5 </w:t>
      </w:r>
      <w:r w:rsidR="00F41DB0">
        <w:t>to</w:t>
      </w:r>
      <w:r>
        <w:t xml:space="preserve"> 2.32 L of water were taken at each depth (except at 1</w:t>
      </w:r>
      <w:r w:rsidR="00F41DB0">
        <w:t>,</w:t>
      </w:r>
      <w:r>
        <w:t xml:space="preserve">000 m). Water was filtered onto GF/F filters in the dark and stored in capsules. Samples were flash-freezed in liquid nitrogen and stored at </w:t>
      </w:r>
      <w:r w:rsidR="00F41DB0">
        <w:t>–</w:t>
      </w:r>
      <w:r>
        <w:t>80°C.</w:t>
      </w:r>
    </w:p>
    <w:p w:rsidR="00AE2BD6" w:rsidRDefault="00AE2BD6" w:rsidP="00AE2BD6">
      <w:pPr>
        <w:pStyle w:val="Paragraphestandard"/>
        <w:rPr>
          <w:rFonts w:eastAsia="Arial" w:cs="Arial"/>
          <w:color w:val="FF0000"/>
          <w:u w:color="FF0000"/>
        </w:rPr>
      </w:pPr>
      <w:r>
        <w:rPr>
          <w:b/>
          <w:bCs/>
        </w:rPr>
        <w:lastRenderedPageBreak/>
        <w:t>Foraminifera assemblages, size</w:t>
      </w:r>
      <w:r w:rsidR="005C3343">
        <w:rPr>
          <w:b/>
          <w:bCs/>
        </w:rPr>
        <w:t>s</w:t>
      </w:r>
      <w:r>
        <w:rPr>
          <w:b/>
          <w:bCs/>
        </w:rPr>
        <w:t xml:space="preserve"> and weight</w:t>
      </w:r>
      <w:r w:rsidR="005C3343">
        <w:rPr>
          <w:b/>
          <w:bCs/>
        </w:rPr>
        <w:t>s</w:t>
      </w:r>
      <w:r>
        <w:t xml:space="preserve"> : </w:t>
      </w:r>
      <w:r w:rsidR="005C3343">
        <w:t>P</w:t>
      </w:r>
      <w:r>
        <w:t xml:space="preserve">lankton samples retrieved in the </w:t>
      </w:r>
      <w:r w:rsidR="005C3343">
        <w:t xml:space="preserve">net </w:t>
      </w:r>
      <w:r>
        <w:t>collectors were transferred immediately into the freezer</w:t>
      </w:r>
      <w:r w:rsidR="005C3343">
        <w:t xml:space="preserve"> (–20°C)</w:t>
      </w:r>
      <w:r>
        <w:t xml:space="preserve"> to store them until processing.</w:t>
      </w:r>
    </w:p>
    <w:p w:rsidR="00AE2BD6" w:rsidRDefault="00AE2BD6" w:rsidP="00D0498F">
      <w:pPr>
        <w:pStyle w:val="Titre2"/>
      </w:pPr>
      <w:r>
        <w:t>Analytical procedure</w:t>
      </w:r>
    </w:p>
    <w:p w:rsidR="0064095B" w:rsidRDefault="0064095B" w:rsidP="0064095B">
      <w:pPr>
        <w:pStyle w:val="Paragraphestandard"/>
      </w:pPr>
      <w:r>
        <w:t>Foraminifera will be hand–picked to extract them from the remaining plankton. Each cell will be imaged using CEREGE prototype to sort the foraminifers. Shell weights will be measured in batch using an ultramicrobalance.</w:t>
      </w:r>
      <w:r w:rsidRPr="00915669">
        <w:t xml:space="preserve"> Foraminiferal assemblages, shell weight</w:t>
      </w:r>
      <w:r>
        <w:t>s</w:t>
      </w:r>
      <w:r w:rsidRPr="00915669">
        <w:t>, and size</w:t>
      </w:r>
      <w:r>
        <w:t>s</w:t>
      </w:r>
      <w:r w:rsidRPr="00915669">
        <w:t xml:space="preserve"> will be measured according to the recent SCOR WG138 on planktonic foraminifer</w:t>
      </w:r>
      <w:r>
        <w:t>a best practices (book in prep.</w:t>
      </w:r>
      <w:r w:rsidRPr="00915669">
        <w:t>; Sc</w:t>
      </w:r>
      <w:r>
        <w:t>hiebel and Hemleben, 2017).</w:t>
      </w:r>
    </w:p>
    <w:p w:rsidR="0064095B" w:rsidRDefault="0064095B" w:rsidP="0064095B">
      <w:pPr>
        <w:pStyle w:val="Paragraphestandard"/>
        <w:rPr>
          <w:rFonts w:eastAsia="Arial" w:cs="Arial"/>
        </w:rPr>
      </w:pPr>
      <w:r w:rsidRPr="00915669">
        <w:t xml:space="preserve">Coccolithophorids assemblages will be classified automatically, using </w:t>
      </w:r>
      <w:r>
        <w:t xml:space="preserve">the </w:t>
      </w:r>
      <w:r w:rsidRPr="00915669">
        <w:t>SYRACO softw</w:t>
      </w:r>
      <w:r>
        <w:t>are (Beaufort &amp; Dollfus, 2004);</w:t>
      </w:r>
      <w:r w:rsidRPr="00915669">
        <w:t xml:space="preserve"> the mass of coccoliths will be estimated using the Calciprobe software (Beaufort </w:t>
      </w:r>
      <w:r w:rsidRPr="0064095B">
        <w:rPr>
          <w:i/>
        </w:rPr>
        <w:t>et al.</w:t>
      </w:r>
      <w:r w:rsidRPr="00915669">
        <w:t>, 2015).</w:t>
      </w:r>
    </w:p>
    <w:p w:rsidR="00AE2BD6" w:rsidRDefault="00AE2BD6" w:rsidP="00D0498F">
      <w:pPr>
        <w:pStyle w:val="Titre2"/>
      </w:pPr>
      <w:r>
        <w:t>Units</w:t>
      </w:r>
    </w:p>
    <w:p w:rsidR="0064095B" w:rsidRPr="0064095B" w:rsidRDefault="0064095B" w:rsidP="00D0498F">
      <w:pPr>
        <w:pStyle w:val="Paragraphedeliste"/>
        <w:numPr>
          <w:ilvl w:val="0"/>
          <w:numId w:val="6"/>
        </w:numPr>
        <w:tabs>
          <w:tab w:val="left" w:pos="4111"/>
        </w:tabs>
        <w:spacing w:before="60"/>
        <w:contextualSpacing w:val="0"/>
        <w:rPr>
          <w:rFonts w:ascii="Arial" w:eastAsia="Arial" w:hAnsi="Arial" w:cs="Arial"/>
          <w:lang w:val="en-US"/>
        </w:rPr>
      </w:pPr>
      <w:r w:rsidRPr="0064095B">
        <w:rPr>
          <w:rFonts w:ascii="Arial" w:hAnsi="Arial"/>
          <w:lang w:val="en-US"/>
        </w:rPr>
        <w:t>Foraminifera assemblages:</w:t>
      </w:r>
      <w:r>
        <w:rPr>
          <w:rFonts w:ascii="Arial" w:hAnsi="Arial"/>
          <w:lang w:val="en-US"/>
        </w:rPr>
        <w:tab/>
        <w:t>cell numbers</w:t>
      </w:r>
      <w:r w:rsidRPr="0064095B">
        <w:rPr>
          <w:rFonts w:ascii="Arial" w:hAnsi="Arial"/>
          <w:lang w:val="en-US"/>
        </w:rPr>
        <w:t xml:space="preserve"> per species per net</w:t>
      </w:r>
    </w:p>
    <w:p w:rsidR="0064095B" w:rsidRPr="0064095B" w:rsidRDefault="0064095B" w:rsidP="00D0498F">
      <w:pPr>
        <w:pStyle w:val="Paragraphedeliste"/>
        <w:numPr>
          <w:ilvl w:val="0"/>
          <w:numId w:val="6"/>
        </w:numPr>
        <w:tabs>
          <w:tab w:val="left" w:pos="4111"/>
        </w:tabs>
        <w:spacing w:before="60"/>
        <w:contextualSpacing w:val="0"/>
        <w:rPr>
          <w:rFonts w:ascii="Arial" w:eastAsia="Arial" w:hAnsi="Arial" w:cs="Arial"/>
          <w:lang w:val="en-US"/>
        </w:rPr>
      </w:pPr>
      <w:r w:rsidRPr="0064095B">
        <w:rPr>
          <w:rFonts w:ascii="Arial" w:hAnsi="Arial"/>
          <w:lang w:val="en-US"/>
        </w:rPr>
        <w:t>Foraminifera stock:</w:t>
      </w:r>
      <w:r>
        <w:rPr>
          <w:rFonts w:ascii="Arial" w:hAnsi="Arial"/>
          <w:lang w:val="en-US"/>
        </w:rPr>
        <w:tab/>
        <w:t>cell numbers m</w:t>
      </w:r>
      <w:r w:rsidRPr="0064095B">
        <w:rPr>
          <w:rFonts w:ascii="Arial" w:hAnsi="Arial"/>
          <w:vertAlign w:val="superscript"/>
          <w:lang w:val="en-US"/>
        </w:rPr>
        <w:t>–3</w:t>
      </w:r>
    </w:p>
    <w:p w:rsidR="0064095B" w:rsidRPr="0064095B" w:rsidRDefault="0064095B" w:rsidP="00D0498F">
      <w:pPr>
        <w:pStyle w:val="Paragraphedeliste"/>
        <w:numPr>
          <w:ilvl w:val="0"/>
          <w:numId w:val="6"/>
        </w:numPr>
        <w:tabs>
          <w:tab w:val="left" w:pos="4111"/>
        </w:tabs>
        <w:spacing w:before="60"/>
        <w:contextualSpacing w:val="0"/>
        <w:rPr>
          <w:rFonts w:ascii="Arial" w:eastAsia="Arial" w:hAnsi="Arial" w:cs="Arial"/>
          <w:lang w:val="en-US"/>
        </w:rPr>
      </w:pPr>
      <w:r w:rsidRPr="0064095B">
        <w:rPr>
          <w:rFonts w:ascii="Arial" w:hAnsi="Arial"/>
          <w:lang w:val="en-US"/>
        </w:rPr>
        <w:t xml:space="preserve">Coccolithophorid assemblages: </w:t>
      </w:r>
      <w:r>
        <w:rPr>
          <w:rFonts w:ascii="Arial" w:hAnsi="Arial"/>
          <w:lang w:val="en-US"/>
        </w:rPr>
        <w:tab/>
        <w:t>cell numbers</w:t>
      </w:r>
      <w:r w:rsidRPr="0064095B">
        <w:rPr>
          <w:rFonts w:ascii="Arial" w:hAnsi="Arial"/>
          <w:lang w:val="en-US"/>
        </w:rPr>
        <w:t xml:space="preserve"> per species per net</w:t>
      </w:r>
    </w:p>
    <w:p w:rsidR="0064095B" w:rsidRPr="0064095B" w:rsidRDefault="0064095B" w:rsidP="00D0498F">
      <w:pPr>
        <w:pStyle w:val="Paragraphedeliste"/>
        <w:numPr>
          <w:ilvl w:val="0"/>
          <w:numId w:val="6"/>
        </w:numPr>
        <w:tabs>
          <w:tab w:val="left" w:pos="4111"/>
        </w:tabs>
        <w:spacing w:before="60"/>
        <w:contextualSpacing w:val="0"/>
        <w:rPr>
          <w:rFonts w:ascii="Arial" w:eastAsia="Arial" w:hAnsi="Arial" w:cs="Arial"/>
          <w:lang w:val="en-US"/>
        </w:rPr>
      </w:pPr>
      <w:r w:rsidRPr="0064095B">
        <w:rPr>
          <w:rFonts w:ascii="Arial" w:hAnsi="Arial"/>
          <w:lang w:val="en-US"/>
        </w:rPr>
        <w:t>Coccolithophorid stock:</w:t>
      </w:r>
      <w:r>
        <w:rPr>
          <w:rFonts w:ascii="Arial" w:hAnsi="Arial"/>
          <w:lang w:val="en-US"/>
        </w:rPr>
        <w:tab/>
        <w:t>cell numbers L</w:t>
      </w:r>
      <w:r w:rsidRPr="0064095B">
        <w:rPr>
          <w:rFonts w:ascii="Arial" w:hAnsi="Arial"/>
          <w:vertAlign w:val="superscript"/>
          <w:lang w:val="en-US"/>
        </w:rPr>
        <w:t>–1</w:t>
      </w:r>
    </w:p>
    <w:p w:rsidR="0064095B" w:rsidRPr="0064095B" w:rsidRDefault="0064095B" w:rsidP="00D0498F">
      <w:pPr>
        <w:pStyle w:val="Paragraphedeliste"/>
        <w:numPr>
          <w:ilvl w:val="0"/>
          <w:numId w:val="6"/>
        </w:numPr>
        <w:tabs>
          <w:tab w:val="left" w:pos="4111"/>
        </w:tabs>
        <w:spacing w:before="60"/>
        <w:contextualSpacing w:val="0"/>
        <w:rPr>
          <w:rFonts w:ascii="Arial" w:eastAsia="Arial" w:hAnsi="Arial" w:cs="Arial"/>
          <w:lang w:val="en-US"/>
        </w:rPr>
      </w:pPr>
      <w:r w:rsidRPr="0064095B">
        <w:rPr>
          <w:rFonts w:ascii="Arial" w:hAnsi="Arial"/>
          <w:lang w:val="en-US"/>
        </w:rPr>
        <w:t>P</w:t>
      </w:r>
      <w:r>
        <w:rPr>
          <w:rFonts w:ascii="Arial" w:hAnsi="Arial"/>
          <w:lang w:val="en-US"/>
        </w:rPr>
        <w:t>articulate Inorganic Carbon (P</w:t>
      </w:r>
      <w:r w:rsidRPr="0064095B">
        <w:rPr>
          <w:rFonts w:ascii="Arial" w:hAnsi="Arial"/>
          <w:lang w:val="en-US"/>
        </w:rPr>
        <w:t>IC</w:t>
      </w:r>
      <w:r>
        <w:rPr>
          <w:rFonts w:ascii="Arial" w:hAnsi="Arial"/>
          <w:lang w:val="en-US"/>
        </w:rPr>
        <w:t>)</w:t>
      </w:r>
      <w:r w:rsidRPr="0064095B">
        <w:rPr>
          <w:rFonts w:ascii="Arial" w:hAnsi="Arial"/>
          <w:lang w:val="en-US"/>
        </w:rPr>
        <w:t>:</w:t>
      </w:r>
      <w:r>
        <w:rPr>
          <w:rFonts w:ascii="Arial" w:hAnsi="Arial"/>
          <w:lang w:val="en-US"/>
        </w:rPr>
        <w:tab/>
      </w:r>
      <w:r w:rsidR="006C440B">
        <w:rPr>
          <w:rFonts w:ascii="Arial" w:hAnsi="Arial"/>
          <w:lang w:val="en-US"/>
        </w:rPr>
        <w:t xml:space="preserve">µmol </w:t>
      </w:r>
      <w:r w:rsidRPr="0064095B">
        <w:rPr>
          <w:rFonts w:ascii="Arial" w:hAnsi="Arial"/>
          <w:lang w:val="en-US"/>
        </w:rPr>
        <w:t>L</w:t>
      </w:r>
      <w:r w:rsidRPr="0064095B">
        <w:rPr>
          <w:rFonts w:ascii="Arial" w:hAnsi="Arial"/>
          <w:vertAlign w:val="superscript"/>
          <w:lang w:val="en-US"/>
        </w:rPr>
        <w:t>–1</w:t>
      </w:r>
      <w:r w:rsidRPr="0064095B">
        <w:rPr>
          <w:rFonts w:ascii="Arial" w:hAnsi="Arial"/>
          <w:lang w:val="en-US"/>
        </w:rPr>
        <w:t xml:space="preserve"> </w:t>
      </w:r>
    </w:p>
    <w:p w:rsidR="00AE2BD6" w:rsidRPr="00D0498F" w:rsidRDefault="00AE2BD6" w:rsidP="00D0498F">
      <w:pPr>
        <w:pStyle w:val="Titre2"/>
      </w:pPr>
      <w:r w:rsidRPr="00D0498F">
        <w:t>Sensor precision</w:t>
      </w:r>
    </w:p>
    <w:p w:rsidR="00D0498F" w:rsidRPr="00D0498F" w:rsidRDefault="00D0498F" w:rsidP="00D0498F">
      <w:pPr>
        <w:pStyle w:val="Paragraphestandard"/>
      </w:pPr>
      <w:r>
        <w:t>N/A</w:t>
      </w:r>
      <w:bookmarkStart w:id="0" w:name="_GoBack"/>
      <w:bookmarkEnd w:id="0"/>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D0498F" w:rsidRPr="00D0498F" w:rsidRDefault="00D0498F" w:rsidP="00D0498F">
      <w:pPr>
        <w:pStyle w:val="Paragraphestandard"/>
      </w:pPr>
      <w:r>
        <w:t>December 2019</w:t>
      </w:r>
    </w:p>
    <w:p w:rsidR="00AE2BD6" w:rsidRDefault="00D0498F" w:rsidP="00D0498F">
      <w:pPr>
        <w:pStyle w:val="Titre1"/>
      </w:pPr>
      <w:r w:rsidRPr="00D0498F">
        <w:t>BIBLIOGRAPHY</w:t>
      </w:r>
    </w:p>
    <w:p w:rsidR="00B7160F" w:rsidRPr="00B7160F" w:rsidRDefault="00D0498F" w:rsidP="00B7160F">
      <w:pPr>
        <w:pStyle w:val="Bibliographie"/>
      </w:pPr>
      <w:r w:rsidRPr="00B7160F">
        <w:t>Beaufort L., Dollfus D., 2004. Automatic recognition of coccoliths by dynamical neural networks. Marine Micropaleontology, 51(1-2), 57–73.</w:t>
      </w:r>
      <w:r w:rsidRPr="00B7160F">
        <w:tab/>
        <w:t xml:space="preserve"> </w:t>
      </w:r>
      <w:hyperlink r:id="rId12" w:history="1">
        <w:r w:rsidRPr="00E57704">
          <w:rPr>
            <w:rStyle w:val="Lienhypertexte"/>
            <w:color w:val="0070C0"/>
          </w:rPr>
          <w:t>http://doi.org/10.1016/j.marmicro.2003.09.003</w:t>
        </w:r>
      </w:hyperlink>
    </w:p>
    <w:p w:rsidR="00B7160F" w:rsidRPr="00B7160F" w:rsidRDefault="00D0498F" w:rsidP="00B7160F">
      <w:pPr>
        <w:pStyle w:val="Bibliographie"/>
      </w:pPr>
      <w:r w:rsidRPr="00B7160F">
        <w:t>Beaufort L., Barbarin N., Gally Y., 2014. Optical measurements to determine the thickness of calcite crystals and the mass of thin carbonate particles such as coccoliths. Nature Protocols, 9(3), 633–642.</w:t>
      </w:r>
      <w:r w:rsidR="00B7160F">
        <w:tab/>
      </w:r>
      <w:r w:rsidR="00B7160F">
        <w:br/>
      </w:r>
      <w:hyperlink r:id="rId13" w:history="1">
        <w:r w:rsidRPr="00E57704">
          <w:rPr>
            <w:rStyle w:val="Lienhypertexte"/>
            <w:color w:val="0070C0"/>
          </w:rPr>
          <w:t>http://doi.org/10.1038/nprot.2014.02</w:t>
        </w:r>
      </w:hyperlink>
    </w:p>
    <w:p w:rsidR="00D0498F" w:rsidRPr="00B7160F" w:rsidRDefault="00D0498F" w:rsidP="00B7160F">
      <w:pPr>
        <w:pStyle w:val="Bibliographie"/>
      </w:pPr>
      <w:r w:rsidRPr="00B7160F">
        <w:t xml:space="preserve">Schiebel R., Hemleben C., 2017. Planktic Foraminifers in the Modern Ocean (pp. 1–366). Berlin: Springer Verlag. </w:t>
      </w:r>
      <w:hyperlink r:id="rId14" w:history="1">
        <w:r w:rsidRPr="00E57704">
          <w:rPr>
            <w:rStyle w:val="Lienhypertexte"/>
            <w:color w:val="0070C0"/>
          </w:rPr>
          <w:t>http://doi.org/10.1007/978-3-662-50297-6</w:t>
        </w:r>
      </w:hyperlink>
    </w:p>
    <w:p w:rsidR="00D0498F" w:rsidRDefault="00D0498F" w:rsidP="00B7160F">
      <w:pPr>
        <w:pStyle w:val="Bibliographie"/>
      </w:pPr>
      <w:r w:rsidRPr="00B7160F">
        <w:t>Poulton A.J., Sanders R., Holligan P.M., Stinchcombe M.C., Adey T.R., Brown L., Chamberlain K., 2006. Phytoplankton mineralization in the tropical and</w:t>
      </w:r>
      <w:r>
        <w:t xml:space="preserve"> subtropical Atlantic Ocean. </w:t>
      </w:r>
      <w:r w:rsidRPr="00D0498F">
        <w:rPr>
          <w:i/>
        </w:rPr>
        <w:t>Global Biogeochemical Cycles</w:t>
      </w:r>
      <w:r>
        <w:t xml:space="preserve">, </w:t>
      </w:r>
      <w:r w:rsidRPr="00D0498F">
        <w:rPr>
          <w:b/>
        </w:rPr>
        <w:t>20</w:t>
      </w:r>
      <w:r>
        <w:t>(GB4002,), 1</w:t>
      </w:r>
      <w:r w:rsidRPr="00915669">
        <w:t>–</w:t>
      </w:r>
      <w:r>
        <w:t>10.</w:t>
      </w:r>
      <w:r w:rsidR="00B7160F">
        <w:tab/>
      </w:r>
      <w:r>
        <w:t xml:space="preserve"> </w:t>
      </w:r>
      <w:hyperlink r:id="rId15" w:history="1">
        <w:r w:rsidRPr="00B3682F">
          <w:rPr>
            <w:rStyle w:val="Lienhypertexte"/>
          </w:rPr>
          <w:t>http://doi.org/10.1029/2006GB002712</w:t>
        </w:r>
      </w:hyperlink>
    </w:p>
    <w:p w:rsidR="00D0498F" w:rsidRPr="00D0498F" w:rsidRDefault="00D0498F" w:rsidP="00D0498F">
      <w:pPr>
        <w:pBdr>
          <w:bottom w:val="single" w:sz="8" w:space="1" w:color="000000" w:themeColor="text1"/>
        </w:pBdr>
        <w:rPr>
          <w:lang w:val="en-US"/>
        </w:rPr>
      </w:pPr>
    </w:p>
    <w:sectPr w:rsidR="00D0498F" w:rsidRPr="00D0498F"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38" w:rsidRDefault="00A05738" w:rsidP="001400EB">
      <w:r>
        <w:separator/>
      </w:r>
    </w:p>
  </w:endnote>
  <w:endnote w:type="continuationSeparator" w:id="0">
    <w:p w:rsidR="00A05738" w:rsidRDefault="00A05738"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38" w:rsidRDefault="00A05738" w:rsidP="001400EB">
      <w:r>
        <w:separator/>
      </w:r>
    </w:p>
  </w:footnote>
  <w:footnote w:type="continuationSeparator" w:id="0">
    <w:p w:rsidR="00A05738" w:rsidRDefault="00A05738"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EF34A4" w:rsidTr="00EF34A4">
      <w:trPr>
        <w:trHeight w:val="867"/>
      </w:trPr>
      <w:tc>
        <w:tcPr>
          <w:tcW w:w="1287" w:type="dxa"/>
          <w:vAlign w:val="center"/>
        </w:tcPr>
        <w:p w:rsidR="00EF34A4" w:rsidRDefault="00EF34A4" w:rsidP="00751E33">
          <w:r>
            <w:rPr>
              <w:noProof/>
            </w:rPr>
            <w:drawing>
              <wp:inline distT="0" distB="0" distL="0" distR="0" wp14:anchorId="0F2E5277" wp14:editId="7F1E6A9B">
                <wp:extent cx="576186" cy="503731"/>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EF34A4" w:rsidRPr="001400EB" w:rsidRDefault="00EF34A4" w:rsidP="00751E33">
          <w:pPr>
            <w:rPr>
              <w:b/>
            </w:rPr>
          </w:pPr>
          <w:r w:rsidRPr="001400EB">
            <w:rPr>
              <w:rFonts w:ascii="Arial" w:hAnsi="Arial" w:cs="Arial"/>
              <w:b/>
              <w:color w:val="D9D9D9" w:themeColor="background1" w:themeShade="D9"/>
              <w:lang w:val="en-US"/>
            </w:rPr>
            <w:t>META-DATA FILE</w:t>
          </w:r>
        </w:p>
      </w:tc>
    </w:tr>
  </w:tbl>
  <w:p w:rsidR="00EF34A4" w:rsidRDefault="00EF34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6E2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44EE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907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6A1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C4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6B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544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AA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C3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BC6F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15"/>
  </w:num>
  <w:num w:numId="5">
    <w:abstractNumId w:val="14"/>
  </w:num>
  <w:num w:numId="6">
    <w:abstractNumId w:val="13"/>
  </w:num>
  <w:num w:numId="7">
    <w:abstractNumId w:val="4"/>
  </w:num>
  <w:num w:numId="8">
    <w:abstractNumId w:val="5"/>
  </w:num>
  <w:num w:numId="9">
    <w:abstractNumId w:val="6"/>
  </w:num>
  <w:num w:numId="10">
    <w:abstractNumId w:val="7"/>
  </w:num>
  <w:num w:numId="11">
    <w:abstractNumId w:val="9"/>
  </w:num>
  <w:num w:numId="12">
    <w:abstractNumId w:val="0"/>
  </w:num>
  <w:num w:numId="13">
    <w:abstractNumId w:val="1"/>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4"/>
    <w:rsid w:val="001400EB"/>
    <w:rsid w:val="00235BD0"/>
    <w:rsid w:val="00242833"/>
    <w:rsid w:val="002F5641"/>
    <w:rsid w:val="00347739"/>
    <w:rsid w:val="0035228D"/>
    <w:rsid w:val="00590B44"/>
    <w:rsid w:val="005A6C46"/>
    <w:rsid w:val="005C3343"/>
    <w:rsid w:val="0064095B"/>
    <w:rsid w:val="006A7880"/>
    <w:rsid w:val="006C440B"/>
    <w:rsid w:val="006D2B5E"/>
    <w:rsid w:val="00751E33"/>
    <w:rsid w:val="008953A5"/>
    <w:rsid w:val="008F78F4"/>
    <w:rsid w:val="00900E02"/>
    <w:rsid w:val="00A05738"/>
    <w:rsid w:val="00AE2BD6"/>
    <w:rsid w:val="00B7160F"/>
    <w:rsid w:val="00B95F85"/>
    <w:rsid w:val="00C54ED5"/>
    <w:rsid w:val="00CE2744"/>
    <w:rsid w:val="00D0498F"/>
    <w:rsid w:val="00D74D4F"/>
    <w:rsid w:val="00D95330"/>
    <w:rsid w:val="00DD78A1"/>
    <w:rsid w:val="00E57704"/>
    <w:rsid w:val="00EC4908"/>
    <w:rsid w:val="00EF34A4"/>
    <w:rsid w:val="00F41DB0"/>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6B21"/>
  <w14:defaultImageDpi w14:val="32767"/>
  <w15:chartTrackingRefBased/>
  <w15:docId w15:val="{F129D743-5422-CA4C-A047-4762C18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styleId="Mentionnonrsolue">
    <w:name w:val="Unresolved Mention"/>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paragraph" w:styleId="Bibliographie">
    <w:name w:val="Bibliography"/>
    <w:basedOn w:val="Normal"/>
    <w:next w:val="Normal"/>
    <w:uiPriority w:val="37"/>
    <w:unhideWhenUsed/>
    <w:rsid w:val="00B7160F"/>
    <w:pPr>
      <w:widowControl w:val="0"/>
      <w:spacing w:before="120"/>
      <w:ind w:left="992" w:hanging="992"/>
      <w:jc w:val="both"/>
    </w:pPr>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hyperlink" Target="http://doi.org/10.1038/nprot.2014.02" TargetMode="Externa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hyperlink" Target="http://doi.org/10.1016/j.marmicro.2003.09.0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i.org/10.1029/2006GB002712" TargetMode="External"/><Relationship Id="rId10" Type="http://schemas.openxmlformats.org/officeDocument/2006/relationships/hyperlink" Target="mailto:garidel@cerege.fr" TargetMode="External"/><Relationship Id="rId4" Type="http://schemas.openxmlformats.org/officeDocument/2006/relationships/webSettings" Target="webSettings.xml"/><Relationship Id="rId9" Type="http://schemas.openxmlformats.org/officeDocument/2006/relationships/hyperlink" Target="mailto:garidel@cerege.fr" TargetMode="External"/><Relationship Id="rId14" Type="http://schemas.openxmlformats.org/officeDocument/2006/relationships/hyperlink" Target="http://doi.org/10.1007/978-3-662-5029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1688</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5</cp:revision>
  <dcterms:created xsi:type="dcterms:W3CDTF">2018-04-26T08:56:00Z</dcterms:created>
  <dcterms:modified xsi:type="dcterms:W3CDTF">2018-08-28T13:42:00Z</dcterms:modified>
</cp:coreProperties>
</file>