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Pr="0069008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4F05DA">
        <w:rPr>
          <w:rFonts w:ascii="Arial" w:hAnsi="Arial" w:cs="Arial"/>
          <w:b/>
          <w:color w:val="306FBB"/>
          <w:lang w:val="en-US"/>
        </w:rPr>
        <w:t>Pigments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562AAE" w:rsidRPr="00562AAE" w:rsidTr="00B95F85">
        <w:tc>
          <w:tcPr>
            <w:tcW w:w="1555" w:type="dxa"/>
          </w:tcPr>
          <w:p w:rsidR="00B95F85" w:rsidRPr="00562AAE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bookmarkStart w:id="0" w:name="_GoBack"/>
            <w:r w:rsidRPr="00562AAE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Pr="00562AAE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2C359B" w:rsidRPr="00562AAE" w:rsidRDefault="004F05DA" w:rsidP="002A5510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>Pigment concentrations (HPLC)</w:t>
            </w:r>
          </w:p>
          <w:p w:rsidR="00624513" w:rsidRPr="00562AAE" w:rsidRDefault="004F05DA" w:rsidP="007B4473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>Absorption spectra</w:t>
            </w:r>
          </w:p>
          <w:p w:rsidR="004F05DA" w:rsidRPr="00562AAE" w:rsidRDefault="004F05DA" w:rsidP="007B4473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CDOM </w:t>
            </w:r>
            <w:r w:rsidR="00A00689"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fluorescence </w:t>
            </w:r>
            <w:r w:rsidR="0097491D"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>(EcoT</w:t>
            </w:r>
            <w:r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>riplet)</w:t>
            </w:r>
          </w:p>
          <w:p w:rsidR="004F05DA" w:rsidRPr="00562AAE" w:rsidRDefault="004F05DA" w:rsidP="007B4473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>Chlorophyll fluorescence</w:t>
            </w:r>
            <w:r w:rsidR="0097491D"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(EcoT</w:t>
            </w:r>
            <w:r w:rsidR="00A00689"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>riplet)</w:t>
            </w:r>
          </w:p>
          <w:p w:rsidR="004F05DA" w:rsidRPr="00562AAE" w:rsidRDefault="004F05DA" w:rsidP="007B4473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>Backscattering</w:t>
            </w:r>
            <w:r w:rsidR="0097491D"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(EcoT</w:t>
            </w:r>
            <w:r w:rsidR="00A00689" w:rsidRPr="00562AAE">
              <w:rPr>
                <w:rFonts w:ascii="Arial" w:hAnsi="Arial" w:cs="Arial"/>
                <w:b/>
                <w:color w:val="000000" w:themeColor="text1"/>
                <w:lang w:val="en-US"/>
              </w:rPr>
              <w:t>riplet)</w:t>
            </w:r>
          </w:p>
        </w:tc>
      </w:tr>
      <w:bookmarkEnd w:id="0"/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9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F305D0" w:rsidRDefault="00DD78A1" w:rsidP="00DD78A1">
      <w:pPr>
        <w:ind w:left="2410" w:hanging="2410"/>
        <w:rPr>
          <w:rFonts w:ascii="Arial" w:hAnsi="Arial" w:cs="Arial"/>
        </w:rPr>
      </w:pPr>
      <w:r w:rsidRPr="00F305D0">
        <w:rPr>
          <w:rFonts w:ascii="Arial" w:hAnsi="Arial" w:cs="Arial"/>
        </w:rPr>
        <w:t>Parameter supervisor:</w:t>
      </w:r>
      <w:r w:rsidRPr="00F305D0">
        <w:rPr>
          <w:rFonts w:ascii="Arial" w:hAnsi="Arial" w:cs="Arial"/>
        </w:rPr>
        <w:tab/>
      </w:r>
      <w:r w:rsidR="004F05DA" w:rsidRPr="00F305D0">
        <w:rPr>
          <w:rFonts w:ascii="Arial" w:eastAsia="Arial Unicode MS" w:hAnsi="Arial" w:cs="Arial"/>
          <w:b/>
          <w:color w:val="0070C0"/>
        </w:rPr>
        <w:t>Céline Dimier</w:t>
      </w:r>
    </w:p>
    <w:p w:rsidR="00F305D0" w:rsidRPr="00F305D0" w:rsidRDefault="00F305D0" w:rsidP="00F305D0">
      <w:pPr>
        <w:ind w:left="2410"/>
        <w:rPr>
          <w:rFonts w:ascii="Arial" w:eastAsia="Arial Unicode MS" w:hAnsi="Arial" w:cs="Arial"/>
        </w:rPr>
      </w:pPr>
      <w:r w:rsidRPr="00F305D0">
        <w:rPr>
          <w:rFonts w:ascii="Arial" w:eastAsia="Arial Unicode MS" w:hAnsi="Arial" w:cs="Arial"/>
        </w:rPr>
        <w:t xml:space="preserve">Observatoire </w:t>
      </w:r>
      <w:r w:rsidR="0097491D">
        <w:rPr>
          <w:rFonts w:ascii="Arial" w:eastAsia="Arial Unicode MS" w:hAnsi="Arial" w:cs="Arial"/>
        </w:rPr>
        <w:t>d’</w:t>
      </w:r>
      <w:r w:rsidRPr="00F305D0">
        <w:rPr>
          <w:rFonts w:ascii="Arial" w:eastAsia="Arial Unicode MS" w:hAnsi="Arial" w:cs="Arial"/>
        </w:rPr>
        <w:t>océano</w:t>
      </w:r>
      <w:r w:rsidR="0097491D">
        <w:rPr>
          <w:rFonts w:ascii="Arial" w:eastAsia="Arial Unicode MS" w:hAnsi="Arial" w:cs="Arial"/>
        </w:rPr>
        <w:t>logie</w:t>
      </w:r>
      <w:r w:rsidRPr="00F305D0">
        <w:rPr>
          <w:rFonts w:ascii="Arial" w:eastAsia="Arial Unicode MS" w:hAnsi="Arial" w:cs="Arial"/>
        </w:rPr>
        <w:t xml:space="preserve"> de Villefranche-sur-mer</w:t>
      </w:r>
    </w:p>
    <w:p w:rsidR="00F305D0" w:rsidRPr="00F305D0" w:rsidRDefault="00F305D0" w:rsidP="00F305D0">
      <w:pPr>
        <w:ind w:left="2410"/>
        <w:rPr>
          <w:rFonts w:ascii="Arial" w:eastAsia="Arial Unicode MS" w:hAnsi="Arial" w:cs="Arial"/>
        </w:rPr>
      </w:pPr>
      <w:r w:rsidRPr="00F305D0">
        <w:rPr>
          <w:rFonts w:ascii="Arial" w:eastAsia="Arial Unicode MS" w:hAnsi="Arial" w:cs="Arial"/>
        </w:rPr>
        <w:t>Service SAPIGH</w:t>
      </w:r>
    </w:p>
    <w:p w:rsidR="00F305D0" w:rsidRPr="00F305D0" w:rsidRDefault="00F305D0" w:rsidP="00F305D0">
      <w:pPr>
        <w:ind w:left="2410"/>
        <w:rPr>
          <w:rFonts w:ascii="Arial" w:eastAsia="Arial Unicode MS" w:hAnsi="Arial" w:cs="Arial"/>
        </w:rPr>
      </w:pPr>
      <w:r w:rsidRPr="00F305D0">
        <w:rPr>
          <w:rFonts w:ascii="Arial" w:eastAsia="Arial Unicode MS" w:hAnsi="Arial" w:cs="Arial"/>
        </w:rPr>
        <w:t>181 Chemin du Lazaret</w:t>
      </w:r>
    </w:p>
    <w:p w:rsidR="00690084" w:rsidRDefault="00F305D0" w:rsidP="00F305D0">
      <w:pPr>
        <w:ind w:left="2410"/>
        <w:rPr>
          <w:rFonts w:ascii="Arial" w:eastAsia="Arial Unicode MS" w:hAnsi="Arial" w:cs="Arial"/>
        </w:rPr>
      </w:pPr>
      <w:r w:rsidRPr="00F305D0">
        <w:rPr>
          <w:rFonts w:ascii="Arial" w:eastAsia="Arial Unicode MS" w:hAnsi="Arial" w:cs="Arial"/>
        </w:rPr>
        <w:t>06230 Villefranche-sur-mer</w:t>
      </w:r>
      <w:r w:rsidR="00690084" w:rsidRPr="00690084">
        <w:rPr>
          <w:rFonts w:ascii="Arial" w:eastAsia="Arial Unicode MS" w:hAnsi="Arial" w:cs="Arial"/>
        </w:rPr>
        <w:t xml:space="preserve">, </w:t>
      </w:r>
      <w:r w:rsidR="00690084">
        <w:rPr>
          <w:rFonts w:ascii="Arial" w:eastAsia="Arial Unicode MS" w:hAnsi="Arial" w:cs="Arial"/>
        </w:rPr>
        <w:t>France</w:t>
      </w:r>
    </w:p>
    <w:p w:rsidR="00690084" w:rsidRPr="004C110E" w:rsidRDefault="00DD78A1" w:rsidP="00DD78A1">
      <w:pPr>
        <w:ind w:left="2410"/>
        <w:rPr>
          <w:rFonts w:ascii="Arial" w:eastAsia="Arial Unicode MS" w:hAnsi="Arial" w:cs="Arial"/>
          <w:lang w:val="en-US"/>
        </w:rPr>
      </w:pPr>
      <w:r w:rsidRPr="004C110E">
        <w:rPr>
          <w:rFonts w:ascii="Arial" w:eastAsia="Arial Unicode MS" w:hAnsi="Arial" w:cs="Arial"/>
          <w:lang w:val="en-US"/>
        </w:rPr>
        <w:t>+33 (0)</w:t>
      </w:r>
      <w:r w:rsidR="00F305D0" w:rsidRPr="004C110E">
        <w:rPr>
          <w:rFonts w:ascii="Arial" w:eastAsia="Arial Unicode MS" w:hAnsi="Arial" w:cs="Arial"/>
          <w:lang w:val="en-US"/>
        </w:rPr>
        <w:t>4 93 76 37 36</w:t>
      </w:r>
    </w:p>
    <w:p w:rsidR="00F305D0" w:rsidRPr="004C110E" w:rsidRDefault="00FF2504" w:rsidP="00DD78A1">
      <w:pPr>
        <w:ind w:left="2410"/>
        <w:rPr>
          <w:rFonts w:ascii="Arial" w:hAnsi="Arial" w:cs="Arial"/>
          <w:lang w:val="en-US"/>
        </w:rPr>
      </w:pPr>
      <w:hyperlink r:id="rId10" w:history="1">
        <w:r w:rsidR="00F305D0" w:rsidRPr="004C110E">
          <w:rPr>
            <w:rStyle w:val="Lienhypertexte"/>
            <w:rFonts w:ascii="Arial" w:hAnsi="Arial" w:cs="Arial"/>
            <w:lang w:val="en-US"/>
          </w:rPr>
          <w:t>celine.dimier@obs-vlfr.fr</w:t>
        </w:r>
      </w:hyperlink>
    </w:p>
    <w:p w:rsidR="00DD78A1" w:rsidRPr="004C110E" w:rsidRDefault="00DD78A1" w:rsidP="00DD78A1">
      <w:pPr>
        <w:ind w:left="1843"/>
        <w:rPr>
          <w:rFonts w:ascii="Arial" w:hAnsi="Arial" w:cs="Arial"/>
          <w:lang w:val="en-US"/>
        </w:rPr>
      </w:pPr>
    </w:p>
    <w:p w:rsidR="00690084" w:rsidRPr="004C110E" w:rsidRDefault="00DD78A1" w:rsidP="00690084">
      <w:pPr>
        <w:ind w:left="2410" w:hanging="2410"/>
        <w:rPr>
          <w:rFonts w:ascii="Arial" w:hAnsi="Arial" w:cs="Arial"/>
          <w:lang w:val="en-US"/>
        </w:rPr>
      </w:pPr>
      <w:r w:rsidRPr="004C110E">
        <w:rPr>
          <w:rFonts w:ascii="Arial" w:hAnsi="Arial" w:cs="Arial"/>
          <w:lang w:val="en-US"/>
        </w:rPr>
        <w:t>Dataset contact:</w:t>
      </w:r>
      <w:r w:rsidRPr="004C110E">
        <w:rPr>
          <w:rFonts w:ascii="Arial" w:hAnsi="Arial" w:cs="Arial"/>
          <w:lang w:val="en-US"/>
        </w:rPr>
        <w:tab/>
      </w:r>
      <w:r w:rsidR="00F305D0" w:rsidRPr="004C110E">
        <w:rPr>
          <w:rFonts w:ascii="Arial" w:eastAsia="Arial Unicode MS" w:hAnsi="Arial" w:cs="Arial"/>
          <w:b/>
          <w:color w:val="0070C0"/>
          <w:lang w:val="en-US"/>
        </w:rPr>
        <w:t>Julia Uitz</w:t>
      </w:r>
    </w:p>
    <w:p w:rsidR="00F305D0" w:rsidRPr="00F305D0" w:rsidRDefault="00F305D0" w:rsidP="00F305D0">
      <w:pPr>
        <w:ind w:left="2410"/>
        <w:rPr>
          <w:rFonts w:ascii="Arial" w:eastAsia="Arial Unicode MS" w:hAnsi="Arial" w:cs="Arial"/>
        </w:rPr>
      </w:pPr>
      <w:r w:rsidRPr="00F305D0">
        <w:rPr>
          <w:rFonts w:ascii="Arial" w:eastAsia="Arial Unicode MS" w:hAnsi="Arial" w:cs="Arial"/>
        </w:rPr>
        <w:t>Laboratoire d’Océanographie de Villefranche-sur-mer</w:t>
      </w:r>
    </w:p>
    <w:p w:rsidR="00F305D0" w:rsidRPr="00F305D0" w:rsidRDefault="00F305D0" w:rsidP="00F305D0">
      <w:pPr>
        <w:ind w:left="2410"/>
        <w:rPr>
          <w:rFonts w:ascii="Arial" w:eastAsia="Arial Unicode MS" w:hAnsi="Arial" w:cs="Arial"/>
        </w:rPr>
      </w:pPr>
      <w:r w:rsidRPr="00F305D0">
        <w:rPr>
          <w:rFonts w:ascii="Arial" w:eastAsia="Arial Unicode MS" w:hAnsi="Arial" w:cs="Arial"/>
        </w:rPr>
        <w:t>181 Chemin du Lazaret</w:t>
      </w:r>
    </w:p>
    <w:p w:rsidR="00690084" w:rsidRDefault="00F305D0" w:rsidP="00690084">
      <w:pPr>
        <w:ind w:left="2410"/>
        <w:rPr>
          <w:rFonts w:ascii="Arial" w:eastAsia="Arial Unicode MS" w:hAnsi="Arial" w:cs="Arial"/>
        </w:rPr>
      </w:pPr>
      <w:r w:rsidRPr="00F305D0">
        <w:rPr>
          <w:rFonts w:ascii="Arial" w:eastAsia="Arial Unicode MS" w:hAnsi="Arial" w:cs="Arial"/>
        </w:rPr>
        <w:t>06230 Villefranche-sur-m</w:t>
      </w:r>
      <w:r>
        <w:rPr>
          <w:rFonts w:ascii="Arial" w:eastAsia="Arial Unicode MS" w:hAnsi="Arial" w:cs="Arial"/>
        </w:rPr>
        <w:t>er</w:t>
      </w:r>
      <w:r w:rsidR="00690084" w:rsidRPr="00690084">
        <w:rPr>
          <w:rFonts w:ascii="Arial" w:eastAsia="Arial Unicode MS" w:hAnsi="Arial" w:cs="Arial"/>
        </w:rPr>
        <w:t>,</w:t>
      </w:r>
      <w:r w:rsidR="00CA12BD">
        <w:rPr>
          <w:rFonts w:ascii="Arial" w:eastAsia="Arial Unicode MS" w:hAnsi="Arial" w:cs="Arial"/>
        </w:rPr>
        <w:t xml:space="preserve"> -</w:t>
      </w:r>
      <w:r w:rsidR="00690084">
        <w:rPr>
          <w:rFonts w:ascii="Arial" w:eastAsia="Arial Unicode MS" w:hAnsi="Arial" w:cs="Arial"/>
        </w:rPr>
        <w:t>France</w:t>
      </w:r>
    </w:p>
    <w:p w:rsidR="00F305D0" w:rsidRDefault="00690084" w:rsidP="00690084">
      <w:pPr>
        <w:ind w:left="2410"/>
      </w:pPr>
      <w:r w:rsidRPr="00AC1DA0">
        <w:rPr>
          <w:rFonts w:ascii="Arial" w:eastAsia="Arial Unicode MS" w:hAnsi="Arial" w:cs="Arial"/>
        </w:rPr>
        <w:t>+33 (0)</w:t>
      </w:r>
      <w:r w:rsidR="00F305D0" w:rsidRPr="00F305D0">
        <w:rPr>
          <w:rFonts w:ascii="Arial" w:eastAsia="Arial Unicode MS" w:hAnsi="Arial" w:cs="Arial"/>
        </w:rPr>
        <w:t>4 93 76 38 75</w:t>
      </w:r>
    </w:p>
    <w:p w:rsidR="00690084" w:rsidRDefault="00FF2504" w:rsidP="00690084">
      <w:pPr>
        <w:ind w:left="2410"/>
        <w:rPr>
          <w:rFonts w:ascii="Arial" w:eastAsia="Arial Unicode MS" w:hAnsi="Arial" w:cs="Arial"/>
        </w:rPr>
      </w:pPr>
      <w:hyperlink r:id="rId11" w:history="1">
        <w:r w:rsidR="00F305D0" w:rsidRPr="00E30CB6">
          <w:rPr>
            <w:rStyle w:val="Lienhypertexte"/>
            <w:rFonts w:ascii="Arial" w:eastAsia="Arial Unicode MS" w:hAnsi="Arial" w:cs="Arial"/>
          </w:rPr>
          <w:t>julia.uitz@obs-vlfr.fr</w:t>
        </w:r>
      </w:hyperlink>
    </w:p>
    <w:p w:rsidR="00DD78A1" w:rsidRPr="002F5641" w:rsidRDefault="002F5641" w:rsidP="007E0A45">
      <w:pPr>
        <w:pStyle w:val="Titre1"/>
        <w:pageBreakBefore/>
        <w:ind w:left="357" w:hanging="357"/>
        <w:rPr>
          <w:lang w:val="en-US"/>
        </w:rPr>
      </w:pPr>
      <w:r w:rsidRPr="002F5641">
        <w:rPr>
          <w:lang w:val="en-US"/>
        </w:rPr>
        <w:lastRenderedPageBreak/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CA12BD" w:rsidRDefault="00CA12BD" w:rsidP="00CA12BD">
      <w:pPr>
        <w:pStyle w:val="Paragraphestandard"/>
      </w:pPr>
      <w:r>
        <w:t>Water samples for pigment determination and absorption spectra measurements were taken from rosette bottles.</w:t>
      </w:r>
    </w:p>
    <w:p w:rsidR="00CA12BD" w:rsidRDefault="0097491D" w:rsidP="00CA12BD">
      <w:pPr>
        <w:pStyle w:val="Paragraphestandard"/>
      </w:pPr>
      <w:r>
        <w:t>A WET Labs Eco T</w:t>
      </w:r>
      <w:r w:rsidR="00CA12BD">
        <w:t xml:space="preserve">riplet </w:t>
      </w:r>
      <w:r>
        <w:t xml:space="preserve">sensor </w:t>
      </w:r>
      <w:r w:rsidR="00CA12BD">
        <w:t>was attached to the rosette frame and deployed at each rosette cast lower than 2000 m.</w:t>
      </w:r>
    </w:p>
    <w:p w:rsidR="00EC4908" w:rsidRPr="00377A92" w:rsidRDefault="0097491D" w:rsidP="00CA12BD">
      <w:pPr>
        <w:pStyle w:val="Paragraphestandard"/>
        <w:rPr>
          <w:color w:val="000000" w:themeColor="text1"/>
        </w:rPr>
      </w:pPr>
      <w:r>
        <w:t>A BGC-</w:t>
      </w:r>
      <w:r w:rsidR="00CA12BD">
        <w:t>Argo float was launched at station M4</w:t>
      </w:r>
      <w:r w:rsidR="001836E0">
        <w:t>_1</w:t>
      </w:r>
      <w:r w:rsidR="00CA12BD">
        <w:t xml:space="preserve"> (02/03/2018,</w:t>
      </w:r>
      <w:r w:rsidR="001836E0">
        <w:t xml:space="preserve"> 18:25 UT, </w:t>
      </w:r>
      <w:r w:rsidR="00377A92" w:rsidRPr="00377A92">
        <w:rPr>
          <w:color w:val="000000" w:themeColor="text1"/>
        </w:rPr>
        <w:t>Lat:-52.5677 Lon:67.2734</w:t>
      </w:r>
      <w:r w:rsidR="00377A92">
        <w:rPr>
          <w:color w:val="000000" w:themeColor="text1"/>
        </w:rPr>
        <w:t>)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C56DF2" w:rsidRPr="00EC4908" w:rsidRDefault="00C56DF2" w:rsidP="00C56DF2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 xml:space="preserve">Sampling operations for </w:t>
      </w:r>
      <w:r w:rsidR="001836E0">
        <w:rPr>
          <w:b/>
          <w:lang w:val="en-US"/>
        </w:rPr>
        <w:t>pigments and absorption spectra</w:t>
      </w:r>
    </w:p>
    <w:tbl>
      <w:tblPr>
        <w:tblW w:w="5865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320"/>
        <w:gridCol w:w="1657"/>
        <w:gridCol w:w="1377"/>
        <w:gridCol w:w="1511"/>
      </w:tblGrid>
      <w:tr w:rsidR="001836E0" w:rsidTr="001836E0">
        <w:trPr>
          <w:trHeight w:val="567"/>
          <w:jc w:val="center"/>
        </w:trPr>
        <w:tc>
          <w:tcPr>
            <w:tcW w:w="1320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657" w:type="dxa"/>
            <w:tcBorders>
              <w:bottom w:val="single" w:sz="8" w:space="0" w:color="FFFFFF"/>
            </w:tcBorders>
            <w:shd w:val="clear" w:color="auto" w:fill="4F81BD"/>
            <w:vAlign w:val="center"/>
          </w:tcPr>
          <w:p w:rsidR="001836E0" w:rsidRDefault="001836E0" w:rsidP="00C81EA3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Type of operation</w:t>
            </w:r>
          </w:p>
        </w:tc>
        <w:tc>
          <w:tcPr>
            <w:tcW w:w="1377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Cast ID</w:t>
            </w:r>
          </w:p>
        </w:tc>
        <w:tc>
          <w:tcPr>
            <w:tcW w:w="1511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# of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M2_1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CTD_007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8ECF3"/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AECF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E12D44" w:rsidRDefault="001836E0" w:rsidP="00C81EA3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AECF4"/>
            <w:vAlign w:val="center"/>
          </w:tcPr>
          <w:p w:rsidR="001836E0" w:rsidRPr="001B2BBC" w:rsidRDefault="00A00689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CTD_OMICS-P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AECF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CTD_016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AECF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jc w:val="center"/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M3</w:t>
            </w:r>
          </w:p>
        </w:tc>
        <w:tc>
          <w:tcPr>
            <w:tcW w:w="1657" w:type="dxa"/>
            <w:shd w:val="clear" w:color="auto" w:fill="CED7E7"/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23</w:t>
            </w:r>
          </w:p>
        </w:tc>
        <w:tc>
          <w:tcPr>
            <w:tcW w:w="151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jc w:val="center"/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M2_2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30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38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42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jc w:val="center"/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2_</w:t>
            </w: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3</w:t>
            </w:r>
          </w:p>
        </w:tc>
        <w:tc>
          <w:tcPr>
            <w:tcW w:w="1657" w:type="dxa"/>
            <w:shd w:val="clear" w:color="auto" w:fill="CED7E7"/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53</w:t>
            </w:r>
          </w:p>
        </w:tc>
        <w:tc>
          <w:tcPr>
            <w:tcW w:w="151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depths</w:t>
            </w:r>
          </w:p>
        </w:tc>
      </w:tr>
      <w:tr w:rsidR="001836E0" w:rsidRPr="001B2BBC" w:rsidTr="001836E0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Default="001836E0" w:rsidP="00C81EA3">
            <w:pPr>
              <w:jc w:val="center"/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M3_3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62</w:t>
            </w:r>
          </w:p>
        </w:tc>
        <w:tc>
          <w:tcPr>
            <w:tcW w:w="151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36E0" w:rsidRPr="001B2BBC" w:rsidRDefault="001836E0" w:rsidP="00C81E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depths</w:t>
            </w:r>
          </w:p>
        </w:tc>
      </w:tr>
    </w:tbl>
    <w:p w:rsidR="00CE2744" w:rsidRPr="00B36081" w:rsidRDefault="0035228D" w:rsidP="00D0498F">
      <w:pPr>
        <w:pStyle w:val="Titre1"/>
        <w:rPr>
          <w:lang w:val="en-US"/>
        </w:rPr>
      </w:pPr>
      <w:r w:rsidRPr="00B36081">
        <w:rPr>
          <w:lang w:val="en-US"/>
        </w:rPr>
        <w:t>INSTRUMENTS</w:t>
      </w:r>
    </w:p>
    <w:p w:rsidR="00203DD9" w:rsidRPr="009A484E" w:rsidRDefault="00203DD9" w:rsidP="00203DD9">
      <w:pPr>
        <w:pStyle w:val="Paragraphestandard"/>
        <w:rPr>
          <w:b/>
        </w:rPr>
      </w:pPr>
      <w:r w:rsidRPr="009A484E">
        <w:t>Instrument Type:</w:t>
      </w:r>
      <w:r>
        <w:rPr>
          <w:b/>
        </w:rPr>
        <w:t xml:space="preserve"> </w:t>
      </w:r>
      <w:r w:rsidRPr="00D3366F">
        <w:rPr>
          <w:b/>
        </w:rPr>
        <w:t>ECO Triplet Fluorometer and Backscattering Sensor</w:t>
      </w:r>
    </w:p>
    <w:p w:rsidR="00203DD9" w:rsidRPr="009A484E" w:rsidRDefault="00203DD9" w:rsidP="00203DD9">
      <w:pPr>
        <w:pStyle w:val="Paragraphestandard"/>
        <w:spacing w:before="0"/>
        <w:rPr>
          <w:b/>
        </w:rPr>
      </w:pPr>
      <w:r w:rsidRPr="009A484E">
        <w:t>Manufacturer:</w:t>
      </w:r>
      <w:r w:rsidRPr="009A484E">
        <w:rPr>
          <w:b/>
        </w:rPr>
        <w:t xml:space="preserve"> </w:t>
      </w:r>
      <w:r>
        <w:rPr>
          <w:b/>
        </w:rPr>
        <w:t>Sea–Bird Scientific / WET Labs</w:t>
      </w:r>
      <w:r w:rsidRPr="009A484E">
        <w:rPr>
          <w:b/>
        </w:rPr>
        <w:t xml:space="preserve"> </w:t>
      </w:r>
    </w:p>
    <w:p w:rsidR="00203DD9" w:rsidRPr="00203DD9" w:rsidRDefault="00203DD9" w:rsidP="00203DD9">
      <w:pPr>
        <w:pStyle w:val="Paragraphestandard"/>
        <w:spacing w:before="0"/>
        <w:rPr>
          <w:b/>
        </w:rPr>
      </w:pPr>
      <w:r w:rsidRPr="009A484E">
        <w:t>Model:</w:t>
      </w:r>
      <w:r w:rsidRPr="009A484E">
        <w:rPr>
          <w:b/>
        </w:rPr>
        <w:t xml:space="preserve">  </w:t>
      </w:r>
      <w:r w:rsidRPr="00D3366F">
        <w:rPr>
          <w:b/>
        </w:rPr>
        <w:t>BBFLCD</w:t>
      </w:r>
    </w:p>
    <w:p w:rsidR="00203DD9" w:rsidRPr="009A484E" w:rsidRDefault="00203DD9" w:rsidP="00203DD9">
      <w:pPr>
        <w:pStyle w:val="Paragraphestandard"/>
        <w:spacing w:before="0"/>
      </w:pPr>
      <w:r w:rsidRPr="009A484E">
        <w:t>Instrument Features / Calibration:</w:t>
      </w:r>
      <w:r w:rsidRPr="009A484E">
        <w:rPr>
          <w:b/>
        </w:rPr>
        <w:t xml:space="preserve"> </w:t>
      </w:r>
      <w:r>
        <w:rPr>
          <w:b/>
        </w:rPr>
        <w:t>N/A</w:t>
      </w:r>
    </w:p>
    <w:p w:rsidR="00203DD9" w:rsidRPr="009A484E" w:rsidRDefault="00203DD9" w:rsidP="00203DD9">
      <w:pPr>
        <w:pStyle w:val="Paragraphestandard"/>
        <w:rPr>
          <w:b/>
        </w:rPr>
      </w:pPr>
      <w:r w:rsidRPr="009A484E">
        <w:t>Instrument Type:</w:t>
      </w:r>
      <w:r>
        <w:rPr>
          <w:b/>
        </w:rPr>
        <w:t xml:space="preserve"> Spectrophotometer</w:t>
      </w:r>
    </w:p>
    <w:p w:rsidR="00203DD9" w:rsidRPr="009A484E" w:rsidRDefault="00203DD9" w:rsidP="00203DD9">
      <w:pPr>
        <w:pStyle w:val="Paragraphestandard"/>
        <w:spacing w:before="0"/>
        <w:rPr>
          <w:b/>
        </w:rPr>
      </w:pPr>
      <w:r w:rsidRPr="009A484E">
        <w:t>Manufacturer:</w:t>
      </w:r>
      <w:r w:rsidRPr="009A484E">
        <w:rPr>
          <w:b/>
        </w:rPr>
        <w:t xml:space="preserve"> </w:t>
      </w:r>
      <w:r w:rsidRPr="00203DD9">
        <w:rPr>
          <w:b/>
        </w:rPr>
        <w:t>Perkin-Elmer</w:t>
      </w:r>
    </w:p>
    <w:p w:rsidR="00203DD9" w:rsidRPr="009A484E" w:rsidRDefault="00203DD9" w:rsidP="00203DD9">
      <w:pPr>
        <w:pStyle w:val="Paragraphestandard"/>
        <w:spacing w:before="0"/>
        <w:rPr>
          <w:b/>
          <w:lang w:val="fr-FR"/>
        </w:rPr>
      </w:pPr>
      <w:r w:rsidRPr="009A484E">
        <w:t>Model:</w:t>
      </w:r>
      <w:r w:rsidRPr="009A484E">
        <w:rPr>
          <w:b/>
        </w:rPr>
        <w:t xml:space="preserve">  </w:t>
      </w:r>
      <w:r w:rsidRPr="00203DD9">
        <w:rPr>
          <w:b/>
        </w:rPr>
        <w:t>Lambda-19</w:t>
      </w:r>
    </w:p>
    <w:p w:rsidR="00203DD9" w:rsidRPr="009A484E" w:rsidRDefault="00203DD9" w:rsidP="00203DD9">
      <w:pPr>
        <w:pStyle w:val="Paragraphestandard"/>
        <w:spacing w:before="0"/>
      </w:pPr>
      <w:r w:rsidRPr="009A484E">
        <w:t>Instrument Features / Calibration:</w:t>
      </w:r>
      <w:r w:rsidRPr="009A484E">
        <w:rPr>
          <w:b/>
        </w:rPr>
        <w:t xml:space="preserve"> </w:t>
      </w:r>
      <w:r>
        <w:rPr>
          <w:b/>
        </w:rPr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203DD9" w:rsidRPr="0070001B" w:rsidRDefault="00203DD9" w:rsidP="007966B0">
      <w:pPr>
        <w:pStyle w:val="Paragraphestandard"/>
        <w:rPr>
          <w:snapToGrid w:val="0"/>
        </w:rPr>
      </w:pPr>
      <w:r w:rsidRPr="0070001B">
        <w:rPr>
          <w:b/>
          <w:snapToGrid w:val="0"/>
        </w:rPr>
        <w:t>Pigment</w:t>
      </w:r>
      <w:r>
        <w:rPr>
          <w:b/>
          <w:snapToGrid w:val="0"/>
        </w:rPr>
        <w:t>s</w:t>
      </w:r>
      <w:r w:rsidRPr="0070001B">
        <w:rPr>
          <w:snapToGrid w:val="0"/>
        </w:rPr>
        <w:t xml:space="preserve">: At each </w:t>
      </w:r>
      <w:r>
        <w:rPr>
          <w:snapToGrid w:val="0"/>
        </w:rPr>
        <w:t xml:space="preserve">sampled </w:t>
      </w:r>
      <w:r w:rsidRPr="0070001B">
        <w:rPr>
          <w:snapToGrid w:val="0"/>
        </w:rPr>
        <w:t xml:space="preserve">station, 2.32 L water samples were taken at each depth (except at 1000m). Water was filtered onto </w:t>
      </w:r>
      <w:r w:rsidR="007966B0">
        <w:rPr>
          <w:snapToGrid w:val="0"/>
        </w:rPr>
        <w:t xml:space="preserve">Whatman </w:t>
      </w:r>
      <w:r w:rsidRPr="0070001B">
        <w:rPr>
          <w:snapToGrid w:val="0"/>
        </w:rPr>
        <w:t>GF/F filters in the dark and stored in cryovials. Samples were flash-fr</w:t>
      </w:r>
      <w:r w:rsidR="0097491D">
        <w:rPr>
          <w:snapToGrid w:val="0"/>
        </w:rPr>
        <w:t>ozen</w:t>
      </w:r>
      <w:r w:rsidRPr="0070001B">
        <w:rPr>
          <w:snapToGrid w:val="0"/>
        </w:rPr>
        <w:t xml:space="preserve"> in liquid nitrogen and stored at </w:t>
      </w:r>
      <w:r>
        <w:rPr>
          <w:snapToGrid w:val="0"/>
        </w:rPr>
        <w:t>–</w:t>
      </w:r>
      <w:r w:rsidRPr="0070001B">
        <w:rPr>
          <w:snapToGrid w:val="0"/>
        </w:rPr>
        <w:t>80°C. Pigment determination and quantification will be done using HPLC (High Performance Liquid Chromatography)</w:t>
      </w:r>
    </w:p>
    <w:p w:rsidR="00203DD9" w:rsidRPr="0070001B" w:rsidRDefault="00203DD9" w:rsidP="007966B0">
      <w:pPr>
        <w:pStyle w:val="Paragraphestandard"/>
        <w:rPr>
          <w:snapToGrid w:val="0"/>
        </w:rPr>
      </w:pPr>
      <w:r w:rsidRPr="0070001B">
        <w:rPr>
          <w:b/>
          <w:snapToGrid w:val="0"/>
        </w:rPr>
        <w:lastRenderedPageBreak/>
        <w:t>Absorption spectr</w:t>
      </w:r>
      <w:r w:rsidR="007966B0">
        <w:rPr>
          <w:b/>
          <w:snapToGrid w:val="0"/>
        </w:rPr>
        <w:t>a</w:t>
      </w:r>
      <w:r w:rsidRPr="0070001B">
        <w:rPr>
          <w:snapToGrid w:val="0"/>
        </w:rPr>
        <w:t>: Seawater samples were collected to determine the spectral absorption coefficients of phytoplankt</w:t>
      </w:r>
      <w:r w:rsidR="0097491D">
        <w:rPr>
          <w:snapToGrid w:val="0"/>
        </w:rPr>
        <w:t>on and non-phytoplankton partic</w:t>
      </w:r>
      <w:r w:rsidRPr="0070001B">
        <w:rPr>
          <w:snapToGrid w:val="0"/>
        </w:rPr>
        <w:t xml:space="preserve">les. At each </w:t>
      </w:r>
      <w:r>
        <w:rPr>
          <w:snapToGrid w:val="0"/>
        </w:rPr>
        <w:t xml:space="preserve">sampled </w:t>
      </w:r>
      <w:r w:rsidRPr="0070001B">
        <w:rPr>
          <w:snapToGrid w:val="0"/>
        </w:rPr>
        <w:t xml:space="preserve">station, between 1.5 and 2.32 L of water were taken at each depth (except at 1000 m). Water was filtered onto </w:t>
      </w:r>
      <w:r w:rsidR="007966B0">
        <w:rPr>
          <w:snapToGrid w:val="0"/>
        </w:rPr>
        <w:t xml:space="preserve">Whatman </w:t>
      </w:r>
      <w:r w:rsidRPr="0070001B">
        <w:rPr>
          <w:snapToGrid w:val="0"/>
        </w:rPr>
        <w:t>GF/F filters in the dark and stored in capsules. Samples were flash-fr</w:t>
      </w:r>
      <w:r w:rsidR="0097491D">
        <w:rPr>
          <w:snapToGrid w:val="0"/>
        </w:rPr>
        <w:t>ozen</w:t>
      </w:r>
      <w:r w:rsidRPr="0070001B">
        <w:rPr>
          <w:snapToGrid w:val="0"/>
        </w:rPr>
        <w:t xml:space="preserve"> in liquid nitrogen and stored at </w:t>
      </w:r>
      <w:r>
        <w:rPr>
          <w:snapToGrid w:val="0"/>
        </w:rPr>
        <w:t>–</w:t>
      </w:r>
      <w:r w:rsidRPr="0070001B">
        <w:rPr>
          <w:snapToGrid w:val="0"/>
        </w:rPr>
        <w:t>80°C.</w:t>
      </w:r>
    </w:p>
    <w:p w:rsidR="007966B0" w:rsidRPr="00D00BBE" w:rsidRDefault="00EB679A" w:rsidP="007966B0">
      <w:pPr>
        <w:pStyle w:val="Paragraphestandard"/>
        <w:rPr>
          <w:snapToGrid w:val="0"/>
          <w:color w:val="FF0000"/>
        </w:rPr>
      </w:pPr>
      <w:r>
        <w:rPr>
          <w:b/>
          <w:snapToGrid w:val="0"/>
        </w:rPr>
        <w:t>Eco T</w:t>
      </w:r>
      <w:r w:rsidR="00203DD9" w:rsidRPr="0070001B">
        <w:rPr>
          <w:b/>
          <w:snapToGrid w:val="0"/>
        </w:rPr>
        <w:t>riplet</w:t>
      </w:r>
      <w:r w:rsidR="00203DD9" w:rsidRPr="0070001B">
        <w:rPr>
          <w:snapToGrid w:val="0"/>
        </w:rPr>
        <w:t xml:space="preserve"> : </w:t>
      </w:r>
      <w:r w:rsidR="00203DD9">
        <w:t xml:space="preserve">a WET Labs ECO Triplet </w:t>
      </w:r>
      <w:r w:rsidR="00203DD9">
        <w:rPr>
          <w:rFonts w:cs="Arial"/>
        </w:rPr>
        <w:t>was mounted on the</w:t>
      </w:r>
      <w:r w:rsidR="00203DD9" w:rsidRPr="00C9572B">
        <w:rPr>
          <w:rFonts w:cs="Arial"/>
        </w:rPr>
        <w:t xml:space="preserve"> frame </w:t>
      </w:r>
      <w:r w:rsidR="00203DD9">
        <w:rPr>
          <w:rFonts w:cs="Arial"/>
        </w:rPr>
        <w:t xml:space="preserve">of the rosette </w:t>
      </w:r>
      <w:r w:rsidR="00203DD9" w:rsidRPr="00C9572B">
        <w:rPr>
          <w:rFonts w:cs="Arial"/>
        </w:rPr>
        <w:t>and collected data independently</w:t>
      </w:r>
      <w:r w:rsidR="00203DD9" w:rsidRPr="0070001B">
        <w:rPr>
          <w:rFonts w:cs="Arial"/>
          <w:snapToGrid w:val="0"/>
        </w:rPr>
        <w:t xml:space="preserve"> on each CTD cast shallower than 2000 m. The WET Labs Eco Triplet sensor provided vertical profiles</w:t>
      </w:r>
      <w:r w:rsidR="00203DD9" w:rsidRPr="0070001B">
        <w:rPr>
          <w:snapToGrid w:val="0"/>
        </w:rPr>
        <w:t xml:space="preserve"> of fluorescence at 3 wavelengths: 695 nm (</w:t>
      </w:r>
      <w:r w:rsidR="007966B0">
        <w:rPr>
          <w:snapToGrid w:val="0"/>
        </w:rPr>
        <w:t>c</w:t>
      </w:r>
      <w:r w:rsidR="00203DD9" w:rsidRPr="0070001B">
        <w:rPr>
          <w:snapToGrid w:val="0"/>
        </w:rPr>
        <w:t>hlorophyll fluorescence), 700 nm (</w:t>
      </w:r>
      <w:r w:rsidR="007966B0">
        <w:rPr>
          <w:snapToGrid w:val="0"/>
        </w:rPr>
        <w:t>backscattering</w:t>
      </w:r>
      <w:r w:rsidR="00203DD9" w:rsidRPr="0070001B">
        <w:rPr>
          <w:snapToGrid w:val="0"/>
        </w:rPr>
        <w:t xml:space="preserve">) and 460 nm (CDOM). This instrument is identical to the one mounted on the </w:t>
      </w:r>
      <w:r>
        <w:rPr>
          <w:snapToGrid w:val="0"/>
        </w:rPr>
        <w:t xml:space="preserve">BGC-Argo </w:t>
      </w:r>
      <w:r w:rsidR="00203DD9" w:rsidRPr="0070001B">
        <w:rPr>
          <w:snapToGrid w:val="0"/>
        </w:rPr>
        <w:t>profiling float launched at M4</w:t>
      </w:r>
      <w:r w:rsidR="007966B0">
        <w:rPr>
          <w:snapToGrid w:val="0"/>
        </w:rPr>
        <w:t>_1</w:t>
      </w:r>
      <w:r w:rsidR="00203DD9" w:rsidRPr="0070001B">
        <w:rPr>
          <w:snapToGrid w:val="0"/>
        </w:rPr>
        <w:t xml:space="preserve"> station and will be used for calibration/validation of the bio-optical proxies.</w:t>
      </w:r>
    </w:p>
    <w:p w:rsidR="00AE2BD6" w:rsidRDefault="00AE2BD6" w:rsidP="00977224">
      <w:pPr>
        <w:pStyle w:val="Titre2"/>
      </w:pPr>
      <w:r>
        <w:t>Analytical procedure</w:t>
      </w:r>
    </w:p>
    <w:p w:rsidR="00203DD9" w:rsidRPr="0070001B" w:rsidRDefault="00203DD9" w:rsidP="007966B0">
      <w:pPr>
        <w:pStyle w:val="Paragraphestandard"/>
        <w:rPr>
          <w:snapToGrid w:val="0"/>
        </w:rPr>
      </w:pPr>
      <w:r w:rsidRPr="0070001B">
        <w:rPr>
          <w:b/>
          <w:snapToGrid w:val="0"/>
        </w:rPr>
        <w:t>Pigment</w:t>
      </w:r>
      <w:r>
        <w:rPr>
          <w:b/>
          <w:snapToGrid w:val="0"/>
        </w:rPr>
        <w:t>s</w:t>
      </w:r>
      <w:r w:rsidRPr="0070001B">
        <w:rPr>
          <w:snapToGrid w:val="0"/>
        </w:rPr>
        <w:t xml:space="preserve">: </w:t>
      </w:r>
      <w:r w:rsidRPr="00D8299C">
        <w:rPr>
          <w:snapToGrid w:val="0"/>
        </w:rPr>
        <w:t xml:space="preserve">Phytoplankton pigment </w:t>
      </w:r>
      <w:r w:rsidRPr="0070001B">
        <w:rPr>
          <w:snapToGrid w:val="0"/>
        </w:rPr>
        <w:t>determination and quantification will be done using HPLC (High Performance Liquid Chromatography)</w:t>
      </w:r>
      <w:r>
        <w:rPr>
          <w:snapToGrid w:val="0"/>
        </w:rPr>
        <w:t>. A</w:t>
      </w:r>
      <w:r w:rsidRPr="00D8299C">
        <w:rPr>
          <w:snapToGrid w:val="0"/>
        </w:rPr>
        <w:t xml:space="preserve">nalyses by HPLC will be performed at the SAPIGH analytical platform at LOV, following the method of Ras </w:t>
      </w:r>
      <w:r w:rsidRPr="00203DD9">
        <w:rPr>
          <w:i/>
          <w:snapToGrid w:val="0"/>
        </w:rPr>
        <w:t xml:space="preserve">et </w:t>
      </w:r>
      <w:r w:rsidRPr="00E82127">
        <w:rPr>
          <w:snapToGrid w:val="0"/>
        </w:rPr>
        <w:t>al.</w:t>
      </w:r>
      <w:r w:rsidRPr="00D8299C">
        <w:rPr>
          <w:snapToGrid w:val="0"/>
        </w:rPr>
        <w:t xml:space="preserve"> (2008) adapted from Van Heukelen </w:t>
      </w:r>
      <w:r>
        <w:rPr>
          <w:snapToGrid w:val="0"/>
        </w:rPr>
        <w:t>&amp;</w:t>
      </w:r>
      <w:r w:rsidRPr="00D8299C">
        <w:rPr>
          <w:snapToGrid w:val="0"/>
        </w:rPr>
        <w:t xml:space="preserve"> Thomas (2001).</w:t>
      </w:r>
    </w:p>
    <w:p w:rsidR="00203DD9" w:rsidRPr="0070001B" w:rsidRDefault="00203DD9" w:rsidP="007966B0">
      <w:pPr>
        <w:pStyle w:val="Paragraphestandard"/>
        <w:rPr>
          <w:snapToGrid w:val="0"/>
        </w:rPr>
      </w:pPr>
      <w:r w:rsidRPr="0070001B">
        <w:rPr>
          <w:b/>
          <w:snapToGrid w:val="0"/>
        </w:rPr>
        <w:t>Absorption spectr</w:t>
      </w:r>
      <w:r w:rsidR="007966B0">
        <w:rPr>
          <w:b/>
          <w:snapToGrid w:val="0"/>
        </w:rPr>
        <w:t>a</w:t>
      </w:r>
      <w:r w:rsidRPr="0070001B">
        <w:rPr>
          <w:snapToGrid w:val="0"/>
        </w:rPr>
        <w:t xml:space="preserve">: </w:t>
      </w:r>
      <w:r w:rsidRPr="00D8299C">
        <w:rPr>
          <w:snapToGrid w:val="0"/>
        </w:rPr>
        <w:t xml:space="preserve">Determinations of the spectral absorption coefficients of particles, phytoplankton and non-algal particles will be performed at LOV using a </w:t>
      </w:r>
      <w:r w:rsidRPr="00D8299C">
        <w:rPr>
          <w:lang w:eastAsia="fr-FR"/>
        </w:rPr>
        <w:t>Perkin-Elmer Lambda-19 spectrophotometer equipped with an integrating sphere,</w:t>
      </w:r>
      <w:r w:rsidRPr="00D8299C">
        <w:rPr>
          <w:snapToGrid w:val="0"/>
        </w:rPr>
        <w:t xml:space="preserve"> following the method described in Bricaud </w:t>
      </w:r>
      <w:r w:rsidRPr="00203DD9">
        <w:rPr>
          <w:i/>
          <w:snapToGrid w:val="0"/>
        </w:rPr>
        <w:t>et al.</w:t>
      </w:r>
      <w:r w:rsidRPr="00D8299C">
        <w:rPr>
          <w:snapToGrid w:val="0"/>
        </w:rPr>
        <w:t xml:space="preserve"> (2010).</w:t>
      </w:r>
    </w:p>
    <w:p w:rsidR="00AE2BD6" w:rsidRDefault="00AE2BD6" w:rsidP="003C55D5">
      <w:pPr>
        <w:pStyle w:val="Titre2"/>
      </w:pPr>
      <w:r>
        <w:t>Units</w:t>
      </w:r>
    </w:p>
    <w:p w:rsidR="003C55D5" w:rsidRPr="00624513" w:rsidRDefault="007966B0" w:rsidP="00777F4C">
      <w:pPr>
        <w:pStyle w:val="Listepersonnellepuces"/>
        <w:tabs>
          <w:tab w:val="left" w:pos="6521"/>
        </w:tabs>
        <w:spacing w:before="120"/>
        <w:ind w:left="708" w:hanging="215"/>
      </w:pPr>
      <w:r>
        <w:t>HPLC pigments</w:t>
      </w:r>
      <w:r w:rsidR="003C55D5">
        <w:tab/>
      </w:r>
      <w:r>
        <w:t>mg</w:t>
      </w:r>
      <w:r w:rsidR="0096743A">
        <w:t xml:space="preserve"> </w:t>
      </w:r>
      <w:r>
        <w:t>m</w:t>
      </w:r>
      <w:r w:rsidR="00624513" w:rsidRPr="00624513">
        <w:rPr>
          <w:vertAlign w:val="superscript"/>
          <w:lang w:val="en-US"/>
        </w:rPr>
        <w:t>–</w:t>
      </w:r>
      <w:r>
        <w:rPr>
          <w:vertAlign w:val="superscript"/>
          <w:lang w:val="en-US"/>
        </w:rPr>
        <w:t>3</w:t>
      </w:r>
    </w:p>
    <w:p w:rsidR="0096743A" w:rsidRPr="007966B0" w:rsidRDefault="007966B0" w:rsidP="007966B0">
      <w:pPr>
        <w:pStyle w:val="Listepersonnellepuces"/>
        <w:tabs>
          <w:tab w:val="left" w:pos="6521"/>
        </w:tabs>
        <w:rPr>
          <w:lang w:val="en-US"/>
        </w:rPr>
      </w:pPr>
      <w:r w:rsidRPr="007966B0">
        <w:rPr>
          <w:snapToGrid w:val="0"/>
          <w:color w:val="000000"/>
          <w:lang w:val="fr-FR"/>
        </w:rPr>
        <w:t>Spectral absorption coefficient</w:t>
      </w:r>
      <w:r>
        <w:rPr>
          <w:snapToGrid w:val="0"/>
          <w:color w:val="000000"/>
          <w:lang w:val="fr-FR"/>
        </w:rPr>
        <w:t>s</w:t>
      </w:r>
      <w:r w:rsidR="0096743A" w:rsidRPr="007966B0">
        <w:rPr>
          <w:lang w:val="fr-FR"/>
        </w:rPr>
        <w:tab/>
      </w:r>
      <w:r>
        <w:rPr>
          <w:lang w:val="fr-FR"/>
        </w:rPr>
        <w:t>m</w:t>
      </w:r>
      <w:r w:rsidRPr="007966B0">
        <w:rPr>
          <w:vertAlign w:val="superscript"/>
          <w:lang w:val="en-US"/>
        </w:rPr>
        <w:t>–1</w:t>
      </w:r>
    </w:p>
    <w:p w:rsidR="007966B0" w:rsidRDefault="007966B0" w:rsidP="007966B0">
      <w:pPr>
        <w:pStyle w:val="Listepersonnellepuces"/>
        <w:tabs>
          <w:tab w:val="left" w:pos="6521"/>
        </w:tabs>
        <w:rPr>
          <w:snapToGrid w:val="0"/>
        </w:rPr>
      </w:pPr>
      <w:r w:rsidRPr="00D8299C">
        <w:rPr>
          <w:snapToGrid w:val="0"/>
        </w:rPr>
        <w:t xml:space="preserve">Chlorophyll </w:t>
      </w:r>
      <w:r w:rsidRPr="00D8299C">
        <w:rPr>
          <w:i/>
          <w:snapToGrid w:val="0"/>
        </w:rPr>
        <w:t>a</w:t>
      </w:r>
      <w:r w:rsidRPr="00D8299C">
        <w:rPr>
          <w:snapToGrid w:val="0"/>
        </w:rPr>
        <w:t xml:space="preserve"> from fluorescence (ECO Triplet)</w:t>
      </w:r>
      <w:r>
        <w:rPr>
          <w:snapToGrid w:val="0"/>
        </w:rPr>
        <w:tab/>
      </w:r>
      <w:r w:rsidRPr="00D8299C">
        <w:rPr>
          <w:snapToGrid w:val="0"/>
        </w:rPr>
        <w:t>mg</w:t>
      </w:r>
      <w:r>
        <w:rPr>
          <w:snapToGrid w:val="0"/>
        </w:rPr>
        <w:t xml:space="preserve"> </w:t>
      </w:r>
      <w:r w:rsidRPr="00D8299C">
        <w:rPr>
          <w:snapToGrid w:val="0"/>
        </w:rPr>
        <w:t>m</w:t>
      </w:r>
      <w:r>
        <w:rPr>
          <w:snapToGrid w:val="0"/>
          <w:vertAlign w:val="superscript"/>
        </w:rPr>
        <w:t>–</w:t>
      </w:r>
      <w:r w:rsidRPr="00D8299C">
        <w:rPr>
          <w:snapToGrid w:val="0"/>
          <w:vertAlign w:val="superscript"/>
        </w:rPr>
        <w:t>3</w:t>
      </w:r>
    </w:p>
    <w:p w:rsidR="007966B0" w:rsidRDefault="007966B0" w:rsidP="007966B0">
      <w:pPr>
        <w:pStyle w:val="Listepersonnellepuces"/>
        <w:tabs>
          <w:tab w:val="left" w:pos="6521"/>
        </w:tabs>
        <w:rPr>
          <w:snapToGrid w:val="0"/>
        </w:rPr>
      </w:pPr>
      <w:r w:rsidRPr="00D8299C">
        <w:rPr>
          <w:snapToGrid w:val="0"/>
        </w:rPr>
        <w:t>CDOM from fluorescence (ECO Triplet</w:t>
      </w:r>
      <w:r>
        <w:rPr>
          <w:snapToGrid w:val="0"/>
        </w:rPr>
        <w:t>)</w:t>
      </w:r>
      <w:r>
        <w:rPr>
          <w:snapToGrid w:val="0"/>
        </w:rPr>
        <w:tab/>
        <w:t>ppb</w:t>
      </w:r>
    </w:p>
    <w:p w:rsidR="007966B0" w:rsidRPr="00D8299C" w:rsidRDefault="007966B0" w:rsidP="007966B0">
      <w:pPr>
        <w:pStyle w:val="Listepersonnellepuces"/>
        <w:tabs>
          <w:tab w:val="left" w:pos="6521"/>
        </w:tabs>
        <w:rPr>
          <w:snapToGrid w:val="0"/>
        </w:rPr>
      </w:pPr>
      <w:r w:rsidRPr="00D8299C">
        <w:rPr>
          <w:snapToGrid w:val="0"/>
        </w:rPr>
        <w:t>Particulate backscattering at 700 nm (ECO Triplet)</w:t>
      </w:r>
      <w:r>
        <w:rPr>
          <w:snapToGrid w:val="0"/>
        </w:rPr>
        <w:tab/>
        <w:t>m</w:t>
      </w:r>
      <w:r>
        <w:rPr>
          <w:snapToGrid w:val="0"/>
          <w:vertAlign w:val="superscript"/>
        </w:rPr>
        <w:t>–</w:t>
      </w:r>
      <w:r w:rsidRPr="00D8299C">
        <w:rPr>
          <w:snapToGrid w:val="0"/>
          <w:vertAlign w:val="superscript"/>
        </w:rPr>
        <w:t>1</w:t>
      </w:r>
    </w:p>
    <w:p w:rsidR="00AE2BD6" w:rsidRPr="00D0498F" w:rsidRDefault="00AE2BD6" w:rsidP="0096743A">
      <w:pPr>
        <w:pStyle w:val="Titre2"/>
        <w:numPr>
          <w:ilvl w:val="0"/>
          <w:numId w:val="0"/>
        </w:numPr>
        <w:ind w:left="992"/>
      </w:pPr>
      <w:r w:rsidRPr="00D0498F">
        <w:t>Sensor precision</w:t>
      </w:r>
    </w:p>
    <w:p w:rsidR="00D0498F" w:rsidRPr="00BE10D1" w:rsidRDefault="003C55D5" w:rsidP="00BE10D1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551E4A" w:rsidRDefault="00777F4C" w:rsidP="005F317A">
      <w:pPr>
        <w:pStyle w:val="Paragraphestandard"/>
        <w:tabs>
          <w:tab w:val="left" w:pos="4395"/>
        </w:tabs>
      </w:pPr>
      <w:r>
        <w:t>8 months after cruise end.</w:t>
      </w:r>
    </w:p>
    <w:p w:rsidR="00AE2BD6" w:rsidRPr="00365DEF" w:rsidRDefault="00D0498F" w:rsidP="00D0498F">
      <w:pPr>
        <w:pStyle w:val="Titre1"/>
        <w:rPr>
          <w:lang w:val="en-US"/>
        </w:rPr>
      </w:pPr>
      <w:r w:rsidRPr="00365DEF">
        <w:rPr>
          <w:lang w:val="en-US"/>
        </w:rPr>
        <w:t>BIBLIOGRAPHY</w:t>
      </w:r>
    </w:p>
    <w:p w:rsidR="00FF6387" w:rsidRPr="00FF6387" w:rsidRDefault="00FF6387" w:rsidP="00FF6387">
      <w:pPr>
        <w:pStyle w:val="bibliographie"/>
        <w:spacing w:before="120"/>
        <w:ind w:left="992" w:hanging="992"/>
        <w:rPr>
          <w:u w:color="000000"/>
        </w:rPr>
      </w:pPr>
      <w:r w:rsidRPr="00FF6387">
        <w:rPr>
          <w:u w:color="000000"/>
          <w:lang w:val="fr-FR"/>
        </w:rPr>
        <w:t xml:space="preserve">Bricaud A., Babin M., Claustre H., Ras J., Tièche F., 2010. </w:t>
      </w:r>
      <w:r w:rsidRPr="00FF6387">
        <w:rPr>
          <w:u w:color="000000"/>
        </w:rPr>
        <w:t xml:space="preserve">Light absorption properties and absorption budget of Southeast Pacific waters. </w:t>
      </w:r>
      <w:r w:rsidRPr="00ED6AB3">
        <w:rPr>
          <w:i/>
          <w:u w:color="000000"/>
        </w:rPr>
        <w:t>Journal of Geophysical Research: Oceans</w:t>
      </w:r>
      <w:r w:rsidR="00ED6AB3">
        <w:rPr>
          <w:u w:color="000000"/>
        </w:rPr>
        <w:t>,</w:t>
      </w:r>
      <w:r w:rsidRPr="00FF6387">
        <w:rPr>
          <w:u w:color="000000"/>
        </w:rPr>
        <w:t xml:space="preserve"> </w:t>
      </w:r>
      <w:r w:rsidRPr="00ED6AB3">
        <w:rPr>
          <w:b/>
          <w:u w:color="000000"/>
        </w:rPr>
        <w:t>115</w:t>
      </w:r>
      <w:r w:rsidRPr="00FF6387">
        <w:rPr>
          <w:u w:color="000000"/>
        </w:rPr>
        <w:t>(C8), C08009.</w:t>
      </w:r>
    </w:p>
    <w:p w:rsidR="00FF6387" w:rsidRPr="00FF6387" w:rsidRDefault="00FF6387" w:rsidP="00FF6387">
      <w:pPr>
        <w:pStyle w:val="bibliographie"/>
        <w:spacing w:before="120"/>
        <w:ind w:left="992" w:hanging="992"/>
        <w:rPr>
          <w:u w:color="000000"/>
        </w:rPr>
      </w:pPr>
      <w:r w:rsidRPr="00FF6387">
        <w:rPr>
          <w:u w:color="000000"/>
        </w:rPr>
        <w:t xml:space="preserve">Ras J., Claustre H., Uitz J., 2008. Spatial variability of phytoplankton pigment distributions in the Subtropical South Pacific Ocean: comparison between in situ and predicted data. </w:t>
      </w:r>
      <w:r w:rsidRPr="00ED6AB3">
        <w:rPr>
          <w:i/>
          <w:u w:color="000000"/>
        </w:rPr>
        <w:t>Biogeosciences</w:t>
      </w:r>
      <w:r w:rsidR="00ED6AB3">
        <w:rPr>
          <w:u w:color="000000"/>
        </w:rPr>
        <w:t>,</w:t>
      </w:r>
      <w:r w:rsidRPr="00FF6387">
        <w:rPr>
          <w:u w:color="000000"/>
        </w:rPr>
        <w:t xml:space="preserve"> </w:t>
      </w:r>
      <w:r w:rsidRPr="00ED6AB3">
        <w:rPr>
          <w:b/>
          <w:u w:color="000000"/>
        </w:rPr>
        <w:t>5</w:t>
      </w:r>
      <w:r w:rsidRPr="00FF6387">
        <w:rPr>
          <w:u w:color="000000"/>
        </w:rPr>
        <w:t>, 353-369.</w:t>
      </w:r>
    </w:p>
    <w:p w:rsidR="007E6663" w:rsidRPr="007E6663" w:rsidRDefault="007E6663" w:rsidP="004C110E">
      <w:pPr>
        <w:pStyle w:val="bibliographie"/>
        <w:keepNext/>
        <w:keepLines/>
        <w:spacing w:before="120"/>
        <w:ind w:left="992" w:hanging="992"/>
        <w:rPr>
          <w:u w:color="000000"/>
        </w:rPr>
      </w:pPr>
      <w:r w:rsidRPr="007E6663">
        <w:rPr>
          <w:u w:color="000000"/>
        </w:rPr>
        <w:lastRenderedPageBreak/>
        <w:t>Van Heukelem L.</w:t>
      </w:r>
      <w:r>
        <w:rPr>
          <w:u w:color="000000"/>
        </w:rPr>
        <w:t>,</w:t>
      </w:r>
      <w:r w:rsidRPr="007E6663">
        <w:rPr>
          <w:u w:color="000000"/>
        </w:rPr>
        <w:t xml:space="preserve"> Thomas C.S.</w:t>
      </w:r>
      <w:r>
        <w:rPr>
          <w:u w:color="000000"/>
        </w:rPr>
        <w:t>, 2001.</w:t>
      </w:r>
      <w:r w:rsidRPr="007E6663">
        <w:rPr>
          <w:u w:color="000000"/>
        </w:rPr>
        <w:t xml:space="preserve"> Computer-assisted highperformance</w:t>
      </w:r>
      <w:r>
        <w:rPr>
          <w:u w:color="000000"/>
        </w:rPr>
        <w:t xml:space="preserve"> </w:t>
      </w:r>
      <w:r w:rsidRPr="007E6663">
        <w:rPr>
          <w:u w:color="000000"/>
        </w:rPr>
        <w:t>liquid chromatography method development with</w:t>
      </w:r>
      <w:r>
        <w:rPr>
          <w:u w:color="000000"/>
        </w:rPr>
        <w:t xml:space="preserve"> </w:t>
      </w:r>
      <w:r w:rsidRPr="007E6663">
        <w:rPr>
          <w:u w:color="000000"/>
        </w:rPr>
        <w:t>applications to the isolation and analysis of phytoplankton pigments,</w:t>
      </w:r>
      <w:r>
        <w:rPr>
          <w:u w:color="000000"/>
        </w:rPr>
        <w:t xml:space="preserve"> </w:t>
      </w:r>
      <w:r w:rsidRPr="007E6663">
        <w:rPr>
          <w:i/>
          <w:u w:color="000000"/>
        </w:rPr>
        <w:t>Journal of Chromatography A</w:t>
      </w:r>
      <w:r w:rsidRPr="007E6663">
        <w:rPr>
          <w:u w:color="000000"/>
        </w:rPr>
        <w:t xml:space="preserve">, </w:t>
      </w:r>
      <w:r w:rsidRPr="007E6663">
        <w:rPr>
          <w:b/>
          <w:u w:color="000000"/>
        </w:rPr>
        <w:t>910</w:t>
      </w:r>
      <w:r w:rsidRPr="007E6663">
        <w:rPr>
          <w:u w:color="000000"/>
        </w:rPr>
        <w:t>, 31–49.</w:t>
      </w:r>
    </w:p>
    <w:p w:rsidR="00EA6FD9" w:rsidRDefault="00EA6FD9" w:rsidP="004C110E">
      <w:pPr>
        <w:keepNext/>
        <w:pBdr>
          <w:bottom w:val="single" w:sz="8" w:space="1" w:color="000000" w:themeColor="text1"/>
        </w:pBdr>
        <w:rPr>
          <w:lang w:val="en-US"/>
        </w:rPr>
      </w:pPr>
    </w:p>
    <w:sectPr w:rsidR="00EA6FD9" w:rsidSect="004C110E">
      <w:headerReference w:type="default" r:id="rId12"/>
      <w:headerReference w:type="first" r:id="rId13"/>
      <w:pgSz w:w="11900" w:h="16840"/>
      <w:pgMar w:top="1484" w:right="1418" w:bottom="863" w:left="1418" w:header="4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504" w:rsidRDefault="00FF2504" w:rsidP="001400EB">
      <w:r>
        <w:separator/>
      </w:r>
    </w:p>
  </w:endnote>
  <w:endnote w:type="continuationSeparator" w:id="0">
    <w:p w:rsidR="00FF2504" w:rsidRDefault="00FF2504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504" w:rsidRDefault="00FF2504" w:rsidP="001400EB">
      <w:r>
        <w:separator/>
      </w:r>
    </w:p>
  </w:footnote>
  <w:footnote w:type="continuationSeparator" w:id="0">
    <w:p w:rsidR="00FF2504" w:rsidRDefault="00FF2504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8738E6" w:rsidRPr="001400EB" w:rsidTr="00463356">
      <w:trPr>
        <w:trHeight w:val="867"/>
      </w:trPr>
      <w:tc>
        <w:tcPr>
          <w:tcW w:w="1287" w:type="dxa"/>
          <w:vAlign w:val="center"/>
        </w:tcPr>
        <w:p w:rsidR="008738E6" w:rsidRDefault="008738E6" w:rsidP="008738E6"/>
      </w:tc>
      <w:tc>
        <w:tcPr>
          <w:tcW w:w="4528" w:type="dxa"/>
          <w:vAlign w:val="center"/>
        </w:tcPr>
        <w:p w:rsidR="008738E6" w:rsidRPr="001400EB" w:rsidRDefault="008738E6" w:rsidP="008738E6">
          <w:pPr>
            <w:rPr>
              <w:b/>
            </w:rPr>
          </w:pPr>
        </w:p>
      </w:tc>
    </w:tr>
  </w:tbl>
  <w:p w:rsidR="008738E6" w:rsidRDefault="008738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062451" w:rsidTr="00062451">
      <w:trPr>
        <w:trHeight w:val="867"/>
      </w:trPr>
      <w:tc>
        <w:tcPr>
          <w:tcW w:w="1287" w:type="dxa"/>
          <w:vAlign w:val="center"/>
        </w:tcPr>
        <w:p w:rsidR="00062451" w:rsidRDefault="00062451" w:rsidP="00751E33">
          <w:r>
            <w:rPr>
              <w:noProof/>
              <w:lang w:eastAsia="fr-FR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062451" w:rsidRPr="001400EB" w:rsidRDefault="0006245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062451" w:rsidRDefault="000624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D2C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684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EBA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54D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B4B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CF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C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546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225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482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lang w:val="en-US"/>
      </w:rPr>
    </w:lvl>
  </w:abstractNum>
  <w:abstractNum w:abstractNumId="12" w15:restartNumberingAfterBreak="0">
    <w:nsid w:val="04D353BE"/>
    <w:multiLevelType w:val="multilevel"/>
    <w:tmpl w:val="6DF02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9A66B8"/>
    <w:multiLevelType w:val="hybridMultilevel"/>
    <w:tmpl w:val="BDB45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412B1"/>
    <w:multiLevelType w:val="hybridMultilevel"/>
    <w:tmpl w:val="59C2C7FA"/>
    <w:lvl w:ilvl="0" w:tplc="5B3C74EE">
      <w:start w:val="1"/>
      <w:numFmt w:val="bullet"/>
      <w:pStyle w:val="Listepersonnellepuces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7C8302BA"/>
    <w:multiLevelType w:val="hybridMultilevel"/>
    <w:tmpl w:val="6DF022E4"/>
    <w:lvl w:ilvl="0" w:tplc="15884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8"/>
  </w:num>
  <w:num w:numId="5">
    <w:abstractNumId w:val="17"/>
  </w:num>
  <w:num w:numId="6">
    <w:abstractNumId w:val="16"/>
  </w:num>
  <w:num w:numId="7">
    <w:abstractNumId w:val="19"/>
  </w:num>
  <w:num w:numId="8">
    <w:abstractNumId w:val="21"/>
  </w:num>
  <w:num w:numId="9">
    <w:abstractNumId w:val="12"/>
  </w:num>
  <w:num w:numId="10">
    <w:abstractNumId w:val="2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3440&lt;/item&gt;&lt;item&gt;11248&lt;/item&gt;&lt;/record-ids&gt;&lt;/item&gt;&lt;/Libraries&gt;"/>
  </w:docVars>
  <w:rsids>
    <w:rsidRoot w:val="00590B44"/>
    <w:rsid w:val="00002978"/>
    <w:rsid w:val="00040EA8"/>
    <w:rsid w:val="00042466"/>
    <w:rsid w:val="0005388D"/>
    <w:rsid w:val="000560DC"/>
    <w:rsid w:val="00062451"/>
    <w:rsid w:val="00084C21"/>
    <w:rsid w:val="0008641A"/>
    <w:rsid w:val="00095DA6"/>
    <w:rsid w:val="000B083E"/>
    <w:rsid w:val="000B2A58"/>
    <w:rsid w:val="001400EB"/>
    <w:rsid w:val="00141419"/>
    <w:rsid w:val="0014150E"/>
    <w:rsid w:val="001474C3"/>
    <w:rsid w:val="0018003C"/>
    <w:rsid w:val="001836E0"/>
    <w:rsid w:val="001C4546"/>
    <w:rsid w:val="001D2515"/>
    <w:rsid w:val="001E24BE"/>
    <w:rsid w:val="001E5EB9"/>
    <w:rsid w:val="00203DD9"/>
    <w:rsid w:val="0021508C"/>
    <w:rsid w:val="00242833"/>
    <w:rsid w:val="00244880"/>
    <w:rsid w:val="002A5510"/>
    <w:rsid w:val="002C2625"/>
    <w:rsid w:val="002C359B"/>
    <w:rsid w:val="002F5641"/>
    <w:rsid w:val="00347739"/>
    <w:rsid w:val="00350E25"/>
    <w:rsid w:val="0035228D"/>
    <w:rsid w:val="00365DEF"/>
    <w:rsid w:val="00377A92"/>
    <w:rsid w:val="003C55D5"/>
    <w:rsid w:val="003D155F"/>
    <w:rsid w:val="003D27F9"/>
    <w:rsid w:val="003F53AC"/>
    <w:rsid w:val="0043781B"/>
    <w:rsid w:val="00437A70"/>
    <w:rsid w:val="0046243C"/>
    <w:rsid w:val="00485FD3"/>
    <w:rsid w:val="00496457"/>
    <w:rsid w:val="004C110E"/>
    <w:rsid w:val="004C6515"/>
    <w:rsid w:val="004D419C"/>
    <w:rsid w:val="004F05DA"/>
    <w:rsid w:val="004F1AEF"/>
    <w:rsid w:val="0050128E"/>
    <w:rsid w:val="00513493"/>
    <w:rsid w:val="00551E4A"/>
    <w:rsid w:val="00552D4B"/>
    <w:rsid w:val="00562AAE"/>
    <w:rsid w:val="00590B44"/>
    <w:rsid w:val="005A6C46"/>
    <w:rsid w:val="005C1FF8"/>
    <w:rsid w:val="005C3343"/>
    <w:rsid w:val="005F317A"/>
    <w:rsid w:val="00602AAE"/>
    <w:rsid w:val="0060409C"/>
    <w:rsid w:val="00607742"/>
    <w:rsid w:val="00622160"/>
    <w:rsid w:val="00624513"/>
    <w:rsid w:val="0064095B"/>
    <w:rsid w:val="00667154"/>
    <w:rsid w:val="00671FEB"/>
    <w:rsid w:val="00690084"/>
    <w:rsid w:val="00691727"/>
    <w:rsid w:val="006A7880"/>
    <w:rsid w:val="006C4DA4"/>
    <w:rsid w:val="006D2B5E"/>
    <w:rsid w:val="0070546D"/>
    <w:rsid w:val="00751E33"/>
    <w:rsid w:val="00777F4C"/>
    <w:rsid w:val="007838AF"/>
    <w:rsid w:val="00784D76"/>
    <w:rsid w:val="007966B0"/>
    <w:rsid w:val="007B1913"/>
    <w:rsid w:val="007B4473"/>
    <w:rsid w:val="007E0A45"/>
    <w:rsid w:val="007E6663"/>
    <w:rsid w:val="00826084"/>
    <w:rsid w:val="00847BCE"/>
    <w:rsid w:val="0085699B"/>
    <w:rsid w:val="008738E6"/>
    <w:rsid w:val="00877D9C"/>
    <w:rsid w:val="008953A5"/>
    <w:rsid w:val="008F78F4"/>
    <w:rsid w:val="00900E02"/>
    <w:rsid w:val="0091497E"/>
    <w:rsid w:val="0096743A"/>
    <w:rsid w:val="0097491D"/>
    <w:rsid w:val="00977224"/>
    <w:rsid w:val="009A484E"/>
    <w:rsid w:val="009B1353"/>
    <w:rsid w:val="009C4F1A"/>
    <w:rsid w:val="00A00689"/>
    <w:rsid w:val="00A13E49"/>
    <w:rsid w:val="00A229BA"/>
    <w:rsid w:val="00A842F7"/>
    <w:rsid w:val="00A958F1"/>
    <w:rsid w:val="00AC1DA0"/>
    <w:rsid w:val="00AE2BD6"/>
    <w:rsid w:val="00AF5414"/>
    <w:rsid w:val="00AF766C"/>
    <w:rsid w:val="00B07E79"/>
    <w:rsid w:val="00B36081"/>
    <w:rsid w:val="00B86033"/>
    <w:rsid w:val="00B95F85"/>
    <w:rsid w:val="00BD50B7"/>
    <w:rsid w:val="00BE10D1"/>
    <w:rsid w:val="00C43865"/>
    <w:rsid w:val="00C53031"/>
    <w:rsid w:val="00C54ED5"/>
    <w:rsid w:val="00C56DF2"/>
    <w:rsid w:val="00C84E7C"/>
    <w:rsid w:val="00C97615"/>
    <w:rsid w:val="00CA0C46"/>
    <w:rsid w:val="00CA12BD"/>
    <w:rsid w:val="00CA6C51"/>
    <w:rsid w:val="00CC0D0B"/>
    <w:rsid w:val="00CD38D1"/>
    <w:rsid w:val="00CE2744"/>
    <w:rsid w:val="00D00BBE"/>
    <w:rsid w:val="00D0498F"/>
    <w:rsid w:val="00D077B4"/>
    <w:rsid w:val="00D14974"/>
    <w:rsid w:val="00D30CDC"/>
    <w:rsid w:val="00D31244"/>
    <w:rsid w:val="00D3366F"/>
    <w:rsid w:val="00D43A43"/>
    <w:rsid w:val="00D45156"/>
    <w:rsid w:val="00D74D4F"/>
    <w:rsid w:val="00D95330"/>
    <w:rsid w:val="00D96E84"/>
    <w:rsid w:val="00DC6C61"/>
    <w:rsid w:val="00DD78A1"/>
    <w:rsid w:val="00E82127"/>
    <w:rsid w:val="00EA6FD9"/>
    <w:rsid w:val="00EB679A"/>
    <w:rsid w:val="00EC2BFD"/>
    <w:rsid w:val="00EC4908"/>
    <w:rsid w:val="00EC5587"/>
    <w:rsid w:val="00ED6AB3"/>
    <w:rsid w:val="00F063D0"/>
    <w:rsid w:val="00F2112C"/>
    <w:rsid w:val="00F305D0"/>
    <w:rsid w:val="00F376EF"/>
    <w:rsid w:val="00F403AC"/>
    <w:rsid w:val="00F41DB0"/>
    <w:rsid w:val="00F743EC"/>
    <w:rsid w:val="00F75098"/>
    <w:rsid w:val="00F75CF8"/>
    <w:rsid w:val="00F8695F"/>
    <w:rsid w:val="00FA16DF"/>
    <w:rsid w:val="00FB298D"/>
    <w:rsid w:val="00FB3DF8"/>
    <w:rsid w:val="00FF0F96"/>
    <w:rsid w:val="00FF11E4"/>
    <w:rsid w:val="00FF2504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E3C3DAB5-4A8A-414F-A76C-835142D6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615"/>
  </w:style>
  <w:style w:type="paragraph" w:styleId="Titre1">
    <w:name w:val="heading 1"/>
    <w:basedOn w:val="Normal"/>
    <w:next w:val="Normal"/>
    <w:link w:val="Titre1Car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nhideWhenUsed/>
    <w:qFormat/>
    <w:rsid w:val="00EA6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551E4A"/>
    <w:pPr>
      <w:keepNext/>
      <w:tabs>
        <w:tab w:val="num" w:pos="0"/>
      </w:tabs>
      <w:suppressAutoHyphens/>
      <w:ind w:left="-720"/>
      <w:outlineLvl w:val="3"/>
    </w:pPr>
    <w:rPr>
      <w:rFonts w:ascii="Times New Roman" w:eastAsia="Times New Roman" w:hAnsi="Times New Roman" w:cs="Times New Roman"/>
      <w:i/>
      <w:iCs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character" w:customStyle="1" w:styleId="style8">
    <w:name w:val="style8"/>
    <w:basedOn w:val="Policepardfaut"/>
    <w:rsid w:val="00F063D0"/>
  </w:style>
  <w:style w:type="paragraph" w:customStyle="1" w:styleId="EndNoteBibliographyTitle">
    <w:name w:val="EndNote Bibliography Title"/>
    <w:basedOn w:val="Normal"/>
    <w:link w:val="EndNoteBibliographyTitleCar"/>
    <w:rsid w:val="00EA6FD9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EA6FD9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EA6FD9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EA6FD9"/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A6FD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ibliographie">
    <w:name w:val="bibliographie"/>
    <w:basedOn w:val="Normal"/>
    <w:qFormat/>
    <w:rsid w:val="00C97615"/>
    <w:pPr>
      <w:widowControl w:val="0"/>
      <w:ind w:left="993" w:hanging="993"/>
      <w:jc w:val="both"/>
    </w:pPr>
    <w:rPr>
      <w:rFonts w:ascii="Arial" w:hAnsi="Arial"/>
      <w:sz w:val="22"/>
      <w:szCs w:val="22"/>
      <w:lang w:val="en-US"/>
    </w:rPr>
  </w:style>
  <w:style w:type="paragraph" w:customStyle="1" w:styleId="Listepersonnellepuces">
    <w:name w:val="Liste personnelle à puces"/>
    <w:basedOn w:val="Paragraphedeliste"/>
    <w:qFormat/>
    <w:rsid w:val="00551E4A"/>
    <w:pPr>
      <w:numPr>
        <w:numId w:val="10"/>
      </w:numPr>
      <w:ind w:left="709" w:hanging="218"/>
    </w:pPr>
    <w:rPr>
      <w:rFonts w:ascii="Arial" w:hAnsi="Arial" w:cs="Arial"/>
      <w:lang w:val="en-GB"/>
    </w:rPr>
  </w:style>
  <w:style w:type="character" w:customStyle="1" w:styleId="Titre4Car">
    <w:name w:val="Titre 4 Car"/>
    <w:basedOn w:val="Policepardfaut"/>
    <w:link w:val="Titre4"/>
    <w:rsid w:val="00551E4A"/>
    <w:rPr>
      <w:rFonts w:ascii="Times New Roman" w:eastAsia="Times New Roman" w:hAnsi="Times New Roman" w:cs="Times New Roman"/>
      <w:i/>
      <w:i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.queguiner@mio.osupytheas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.uitz@obs-vlfr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line.dimier@obs-vlf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rid.obernosterer@obs-banyuls.f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1B5E8-FEAD-5E4B-8474-7C8DF76D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2018-06-28T08:55:00Z</dcterms:created>
  <dcterms:modified xsi:type="dcterms:W3CDTF">2018-06-28T08:55:00Z</dcterms:modified>
</cp:coreProperties>
</file>