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4041E5">
        <w:rPr>
          <w:rFonts w:ascii="Arial" w:hAnsi="Arial" w:cs="Arial"/>
          <w:b/>
          <w:color w:val="0070C0"/>
          <w:lang w:val="en-US"/>
        </w:rPr>
        <w:t xml:space="preserve">Nutrients: </w:t>
      </w:r>
      <w:r w:rsidR="004A6C66">
        <w:rPr>
          <w:rFonts w:ascii="Arial" w:hAnsi="Arial" w:cs="Arial"/>
          <w:b/>
          <w:color w:val="0070C0"/>
          <w:lang w:val="en-US"/>
        </w:rPr>
        <w:t>Phosphate, nitrate, nitrite, silicic acid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4A6C66" w:rsidRDefault="004A6C66" w:rsidP="004A6C66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Phosphate</w:t>
            </w:r>
            <w:r w:rsidR="004041E5">
              <w:rPr>
                <w:rFonts w:ascii="Arial" w:hAnsi="Arial" w:cs="Arial"/>
                <w:b/>
                <w:color w:val="0070C0"/>
                <w:lang w:val="en-US"/>
              </w:rPr>
              <w:t xml:space="preserve"> concentration</w:t>
            </w:r>
          </w:p>
          <w:p w:rsidR="004A6C66" w:rsidRDefault="004A6C66" w:rsidP="004A6C66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Nitrate concentration</w:t>
            </w:r>
          </w:p>
          <w:p w:rsidR="004A6C66" w:rsidRDefault="004A6C66" w:rsidP="004A6C66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Nitrite concentration</w:t>
            </w:r>
          </w:p>
          <w:p w:rsidR="004A6C66" w:rsidRPr="004A6C66" w:rsidRDefault="004A6C66" w:rsidP="004A6C66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Silicic acic concentration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4041E5" w:rsidRDefault="00DD78A1" w:rsidP="00DD78A1">
      <w:pPr>
        <w:ind w:left="2410" w:hanging="2410"/>
        <w:rPr>
          <w:rFonts w:ascii="Arial" w:hAnsi="Arial" w:cs="Arial"/>
        </w:rPr>
      </w:pPr>
      <w:r w:rsidRPr="004041E5">
        <w:rPr>
          <w:rFonts w:ascii="Arial" w:hAnsi="Arial" w:cs="Arial"/>
        </w:rPr>
        <w:t>Parameter supervisor:</w:t>
      </w:r>
      <w:r w:rsidRPr="004041E5">
        <w:rPr>
          <w:rFonts w:ascii="Arial" w:hAnsi="Arial" w:cs="Arial"/>
        </w:rPr>
        <w:tab/>
      </w:r>
      <w:r w:rsidR="004041E5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DD78A1" w:rsidRPr="00DD78A1" w:rsidRDefault="004041E5" w:rsidP="00DD78A1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4041E5" w:rsidRP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DD78A1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="008E4EAD" w:rsidRPr="008E4EAD">
        <w:rPr>
          <w:rFonts w:ascii="Arial" w:eastAsia="Arial Unicode MS" w:hAnsi="Arial" w:cs="Arial"/>
        </w:rPr>
        <w:t>(0)4 68 88 73 44</w:t>
      </w:r>
    </w:p>
    <w:p w:rsidR="00DD78A1" w:rsidRDefault="00507AAB" w:rsidP="004041E5">
      <w:pPr>
        <w:ind w:left="2410"/>
        <w:rPr>
          <w:rFonts w:ascii="Arial" w:eastAsia="Arial Unicode MS" w:hAnsi="Arial" w:cs="Arial"/>
        </w:rPr>
      </w:pPr>
      <w:hyperlink r:id="rId9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Pr="004041E5" w:rsidRDefault="00DD78A1" w:rsidP="00DD78A1">
      <w:pPr>
        <w:ind w:left="1843"/>
        <w:rPr>
          <w:rFonts w:ascii="Arial" w:hAnsi="Arial" w:cs="Arial"/>
        </w:rPr>
      </w:pPr>
    </w:p>
    <w:p w:rsidR="008E4EAD" w:rsidRPr="004041E5" w:rsidRDefault="00DD78A1" w:rsidP="008E4EAD">
      <w:pPr>
        <w:ind w:left="2410" w:hanging="2410"/>
        <w:rPr>
          <w:rFonts w:ascii="Arial" w:hAnsi="Arial" w:cs="Arial"/>
        </w:rPr>
      </w:pPr>
      <w:r w:rsidRPr="008E4EAD">
        <w:rPr>
          <w:rFonts w:ascii="Arial" w:hAnsi="Arial" w:cs="Arial"/>
        </w:rPr>
        <w:t>Dataset contact:</w:t>
      </w:r>
      <w:r w:rsidRPr="008E4EAD">
        <w:rPr>
          <w:rFonts w:ascii="Arial" w:hAnsi="Arial" w:cs="Arial"/>
        </w:rPr>
        <w:tab/>
      </w:r>
      <w:r w:rsidR="008E4EAD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8E4EAD" w:rsidRPr="00DD78A1" w:rsidRDefault="008E4EAD" w:rsidP="008E4EAD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8E4EAD" w:rsidRPr="004041E5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(0)4 68 88 73 44</w:t>
      </w:r>
    </w:p>
    <w:p w:rsidR="008E4EAD" w:rsidRDefault="00507AAB" w:rsidP="008E4EAD">
      <w:pPr>
        <w:ind w:left="2410"/>
        <w:rPr>
          <w:rFonts w:ascii="Arial" w:eastAsia="Arial Unicode MS" w:hAnsi="Arial" w:cs="Arial"/>
        </w:rPr>
      </w:pPr>
      <w:hyperlink r:id="rId10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Default="00DD78A1" w:rsidP="008E4EAD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EC4908">
      <w:pPr>
        <w:pStyle w:val="Paragraphestandard"/>
      </w:pPr>
      <w:r w:rsidRPr="00EC4908">
        <w:t xml:space="preserve">Water </w:t>
      </w:r>
      <w:r w:rsidR="008E4EAD">
        <w:t>samples</w:t>
      </w:r>
      <w:r w:rsidRPr="00EC4908">
        <w:t xml:space="preserve"> were obtained from </w:t>
      </w:r>
      <w:r w:rsidR="008E4EAD">
        <w:t>rosette bottles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8E4EAD" w:rsidRPr="008E4EAD" w:rsidRDefault="008E4EAD" w:rsidP="008E4EAD">
      <w:pPr>
        <w:pStyle w:val="Paragraphestandard"/>
      </w:pPr>
      <w:r w:rsidRPr="008E4EAD">
        <w:t>M1: CTD</w:t>
      </w:r>
      <w:r w:rsidR="004A6C66">
        <w:t xml:space="preserve">35 and </w:t>
      </w:r>
      <w:r w:rsidRPr="008E4EAD">
        <w:t>38; M3: CTD23</w:t>
      </w:r>
      <w:r w:rsidR="004A6C66">
        <w:t xml:space="preserve"> and 26</w:t>
      </w:r>
      <w:r w:rsidRPr="008E4EAD">
        <w:t>; M4</w:t>
      </w:r>
      <w:r w:rsidR="00422749">
        <w:t>_</w:t>
      </w:r>
      <w:r w:rsidRPr="008E4EAD">
        <w:t>1: CTD13</w:t>
      </w:r>
      <w:r w:rsidR="004A6C66">
        <w:t>, 17 and 18</w:t>
      </w:r>
      <w:r w:rsidRPr="008E4EAD">
        <w:t>; M4</w:t>
      </w:r>
      <w:r w:rsidR="00422749">
        <w:t>_</w:t>
      </w:r>
      <w:r w:rsidRPr="008E4EAD">
        <w:t>2: CTD42</w:t>
      </w:r>
      <w:r w:rsidR="004A6C66">
        <w:t xml:space="preserve"> and 44</w:t>
      </w:r>
      <w:r w:rsidRPr="008E4EAD">
        <w:t>; M2</w:t>
      </w:r>
      <w:r w:rsidR="00422749">
        <w:t>_</w:t>
      </w:r>
      <w:r w:rsidRPr="008E4EAD">
        <w:t>1: CTD07; M2</w:t>
      </w:r>
      <w:r w:rsidR="00422749">
        <w:t>_</w:t>
      </w:r>
      <w:r w:rsidRPr="008E4EAD">
        <w:t>2: CTD</w:t>
      </w:r>
      <w:r w:rsidR="004A6C66">
        <w:t xml:space="preserve">29 and </w:t>
      </w:r>
      <w:r w:rsidRPr="008E4EAD">
        <w:t>30; M2</w:t>
      </w:r>
      <w:r w:rsidR="00422749">
        <w:t>_</w:t>
      </w:r>
      <w:r w:rsidRPr="008E4EAD">
        <w:t>3: CTD53; M3</w:t>
      </w:r>
      <w:r w:rsidR="00422749">
        <w:t>_</w:t>
      </w:r>
      <w:r w:rsidRPr="008E4EAD">
        <w:t>3: CTD60</w:t>
      </w:r>
    </w:p>
    <w:p w:rsidR="00CE2744" w:rsidRDefault="0035228D" w:rsidP="00D0498F">
      <w:pPr>
        <w:pStyle w:val="Titre1"/>
      </w:pPr>
      <w:r>
        <w:t>INSTRUMENTS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4A6C66" w:rsidRPr="00AA1A32">
        <w:rPr>
          <w:b/>
          <w:color w:val="000000" w:themeColor="text1"/>
        </w:rPr>
        <w:t>Segmented flow analyzer</w:t>
      </w:r>
    </w:p>
    <w:p w:rsidR="0035228D" w:rsidRPr="0035228D" w:rsidRDefault="0035228D" w:rsidP="00AA1A32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AA1A32" w:rsidRPr="00AA1A32">
        <w:rPr>
          <w:b/>
          <w:color w:val="000000" w:themeColor="text1"/>
        </w:rPr>
        <w:t>Bran+Luebbe</w:t>
      </w:r>
    </w:p>
    <w:p w:rsidR="0035228D" w:rsidRPr="0035228D" w:rsidRDefault="0035228D" w:rsidP="00AA1A32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="00623781" w:rsidRPr="00AA1A32">
        <w:rPr>
          <w:b/>
          <w:color w:val="000000" w:themeColor="text1"/>
        </w:rPr>
        <w:t>AA3</w:t>
      </w:r>
    </w:p>
    <w:p w:rsidR="0035228D" w:rsidRDefault="0035228D" w:rsidP="00AA1A32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AE2BD6" w:rsidP="00D0498F">
      <w:pPr>
        <w:pStyle w:val="Titre2"/>
      </w:pPr>
      <w:r>
        <w:t>Sampling details</w:t>
      </w:r>
    </w:p>
    <w:p w:rsidR="00AE2BD6" w:rsidRPr="008E4EAD" w:rsidRDefault="008E4EAD" w:rsidP="00AE2BD6">
      <w:pPr>
        <w:pStyle w:val="Paragraphestandard"/>
        <w:rPr>
          <w:rFonts w:eastAsia="Arial" w:cs="Arial"/>
          <w:color w:val="FF0000"/>
          <w:u w:color="FF0000"/>
        </w:rPr>
      </w:pPr>
      <w:r w:rsidRPr="008E4EAD">
        <w:rPr>
          <w:bCs/>
        </w:rPr>
        <w:t xml:space="preserve">Samples were collected in </w:t>
      </w:r>
      <w:r w:rsidR="004A6C66">
        <w:rPr>
          <w:bCs/>
        </w:rPr>
        <w:t xml:space="preserve">125 mL HDPE bottles  </w:t>
      </w:r>
      <w:r>
        <w:rPr>
          <w:bCs/>
        </w:rPr>
        <w:t>directly from the rosette bottles</w:t>
      </w:r>
      <w:r w:rsidR="00AE2BD6" w:rsidRPr="008E4EAD">
        <w:t>.</w:t>
      </w:r>
      <w:r w:rsidRPr="008E4EAD">
        <w:rPr>
          <w:rFonts w:cs="Arial"/>
          <w:lang w:eastAsia="fr-FR"/>
        </w:rPr>
        <w:t xml:space="preserve"> </w:t>
      </w:r>
      <w:r w:rsidR="004A6C66">
        <w:rPr>
          <w:rFonts w:eastAsia="Arial" w:cs="Arial"/>
          <w:iCs/>
        </w:rPr>
        <w:t xml:space="preserve">The samples were then </w:t>
      </w:r>
      <w:r w:rsidR="004A6C66" w:rsidRPr="00574048">
        <w:rPr>
          <w:rFonts w:eastAsia="Arial" w:cs="Arial"/>
          <w:iCs/>
        </w:rPr>
        <w:t>filtrat</w:t>
      </w:r>
      <w:r w:rsidR="004A6C66">
        <w:rPr>
          <w:rFonts w:eastAsia="Arial" w:cs="Arial"/>
          <w:iCs/>
        </w:rPr>
        <w:t>ed</w:t>
      </w:r>
      <w:r w:rsidR="004A6C66" w:rsidRPr="00574048">
        <w:rPr>
          <w:rFonts w:eastAsia="Arial" w:cs="Arial"/>
          <w:iCs/>
        </w:rPr>
        <w:t xml:space="preserve"> on 0.45</w:t>
      </w:r>
      <w:r w:rsidR="004A6C66">
        <w:rPr>
          <w:rFonts w:eastAsia="Arial" w:cs="Arial"/>
          <w:iCs/>
        </w:rPr>
        <w:t xml:space="preserve"> </w:t>
      </w:r>
      <w:r w:rsidR="004A6C66" w:rsidRPr="00574048">
        <w:rPr>
          <w:rFonts w:eastAsia="Arial" w:cs="Arial"/>
          <w:iCs/>
        </w:rPr>
        <w:t>µm cellulose acetate filter and preserv</w:t>
      </w:r>
      <w:r w:rsidR="004A6C66">
        <w:rPr>
          <w:rFonts w:eastAsia="Arial" w:cs="Arial"/>
          <w:iCs/>
        </w:rPr>
        <w:t>ed</w:t>
      </w:r>
      <w:r w:rsidR="004A6C66" w:rsidRPr="00574048">
        <w:rPr>
          <w:rFonts w:eastAsia="Arial" w:cs="Arial"/>
          <w:iCs/>
        </w:rPr>
        <w:t xml:space="preserve"> with 100</w:t>
      </w:r>
      <w:r w:rsidR="004A6C66">
        <w:rPr>
          <w:rFonts w:eastAsia="Arial" w:cs="Arial"/>
          <w:iCs/>
        </w:rPr>
        <w:t xml:space="preserve"> </w:t>
      </w:r>
      <w:r w:rsidR="004A6C66" w:rsidRPr="00574048">
        <w:rPr>
          <w:rFonts w:eastAsia="Arial" w:cs="Arial"/>
          <w:iCs/>
        </w:rPr>
        <w:t>µ</w:t>
      </w:r>
      <w:r w:rsidR="004A6C66">
        <w:rPr>
          <w:rFonts w:eastAsia="Arial" w:cs="Arial"/>
          <w:iCs/>
        </w:rPr>
        <w:t xml:space="preserve">L </w:t>
      </w:r>
      <w:r w:rsidR="004A6C66" w:rsidRPr="00574048">
        <w:rPr>
          <w:rFonts w:eastAsia="Arial" w:cs="Arial"/>
          <w:iCs/>
        </w:rPr>
        <w:t xml:space="preserve"> HgCl</w:t>
      </w:r>
      <w:r w:rsidR="004A6C66" w:rsidRPr="00574048">
        <w:rPr>
          <w:rFonts w:eastAsia="Arial" w:cs="Arial"/>
          <w:iCs/>
          <w:vertAlign w:val="subscript"/>
        </w:rPr>
        <w:t>2</w:t>
      </w:r>
      <w:r w:rsidR="004A6C66">
        <w:rPr>
          <w:rFonts w:eastAsia="Arial" w:cs="Arial"/>
          <w:iCs/>
        </w:rPr>
        <w:t xml:space="preserve"> (4g/l) in 20 mL vials, which were then stored in the dark at room temperature until analysis in the laboratory.</w:t>
      </w:r>
    </w:p>
    <w:p w:rsidR="00AE2BD6" w:rsidRDefault="00AE2BD6" w:rsidP="00D0498F">
      <w:pPr>
        <w:pStyle w:val="Titre2"/>
      </w:pPr>
      <w:r>
        <w:t>Analytical procedure</w:t>
      </w:r>
    </w:p>
    <w:p w:rsidR="0064095B" w:rsidRDefault="004A6C66" w:rsidP="0064095B">
      <w:pPr>
        <w:pStyle w:val="Paragraphestandard"/>
        <w:rPr>
          <w:rFonts w:eastAsia="Arial" w:cs="Arial"/>
        </w:rPr>
      </w:pPr>
      <w:r w:rsidRPr="00794C0C">
        <w:rPr>
          <w:rFonts w:cs="Arial"/>
          <w:lang w:eastAsia="fr-FR"/>
        </w:rPr>
        <w:t>For NO</w:t>
      </w:r>
      <w:r w:rsidRPr="00794C0C">
        <w:rPr>
          <w:rFonts w:cs="Arial"/>
          <w:vertAlign w:val="subscript"/>
          <w:lang w:eastAsia="fr-FR"/>
        </w:rPr>
        <w:t>3</w:t>
      </w:r>
      <w:r>
        <w:rPr>
          <w:rFonts w:cs="Arial"/>
          <w:vertAlign w:val="superscript"/>
          <w:lang w:eastAsia="fr-FR"/>
        </w:rPr>
        <w:t>–</w:t>
      </w:r>
      <w:r w:rsidRPr="00794C0C">
        <w:rPr>
          <w:rFonts w:cs="Arial"/>
          <w:lang w:eastAsia="fr-FR"/>
        </w:rPr>
        <w:t>, NO</w:t>
      </w:r>
      <w:r w:rsidRPr="00794C0C">
        <w:rPr>
          <w:rFonts w:cs="Arial"/>
          <w:vertAlign w:val="subscript"/>
          <w:lang w:eastAsia="fr-FR"/>
        </w:rPr>
        <w:t>2</w:t>
      </w:r>
      <w:r>
        <w:rPr>
          <w:rFonts w:cs="Arial"/>
          <w:vertAlign w:val="superscript"/>
          <w:lang w:eastAsia="fr-FR"/>
        </w:rPr>
        <w:t>–</w:t>
      </w:r>
      <w:r w:rsidRPr="00794C0C">
        <w:rPr>
          <w:rFonts w:cs="Arial"/>
          <w:lang w:eastAsia="fr-FR"/>
        </w:rPr>
        <w:t>, PO</w:t>
      </w:r>
      <w:r w:rsidRPr="00794C0C">
        <w:rPr>
          <w:rFonts w:cs="Arial"/>
          <w:vertAlign w:val="subscript"/>
          <w:lang w:eastAsia="fr-FR"/>
        </w:rPr>
        <w:t>4</w:t>
      </w:r>
      <w:r w:rsidRPr="00794C0C">
        <w:rPr>
          <w:rFonts w:cs="Arial"/>
          <w:vertAlign w:val="superscript"/>
          <w:lang w:eastAsia="fr-FR"/>
        </w:rPr>
        <w:t>3</w:t>
      </w:r>
      <w:r>
        <w:rPr>
          <w:rFonts w:cs="Arial"/>
          <w:vertAlign w:val="superscript"/>
          <w:lang w:eastAsia="fr-FR"/>
        </w:rPr>
        <w:t>–</w:t>
      </w:r>
      <w:r>
        <w:rPr>
          <w:rFonts w:cs="Arial"/>
          <w:lang w:eastAsia="fr-FR"/>
        </w:rPr>
        <w:t xml:space="preserve"> and </w:t>
      </w:r>
      <w:r w:rsidRPr="004A6C66">
        <w:rPr>
          <w:rFonts w:cs="Arial"/>
          <w:lang w:eastAsia="fr-FR"/>
        </w:rPr>
        <w:t>H</w:t>
      </w:r>
      <w:r w:rsidRPr="004A6C66">
        <w:rPr>
          <w:rFonts w:cs="Arial"/>
          <w:vertAlign w:val="subscript"/>
          <w:lang w:eastAsia="fr-FR"/>
        </w:rPr>
        <w:t>4</w:t>
      </w:r>
      <w:r w:rsidRPr="004A6C66">
        <w:rPr>
          <w:rFonts w:cs="Arial"/>
          <w:lang w:eastAsia="fr-FR"/>
        </w:rPr>
        <w:t>SiO</w:t>
      </w:r>
      <w:r w:rsidRPr="004A6C66">
        <w:rPr>
          <w:rFonts w:cs="Arial"/>
          <w:vertAlign w:val="subscript"/>
          <w:lang w:eastAsia="fr-FR"/>
        </w:rPr>
        <w:t>4</w:t>
      </w:r>
      <w:r>
        <w:rPr>
          <w:rFonts w:cs="Arial"/>
          <w:lang w:eastAsia="fr-FR"/>
        </w:rPr>
        <w:t>, t</w:t>
      </w:r>
      <w:r w:rsidRPr="00794C0C">
        <w:rPr>
          <w:rFonts w:cs="Arial"/>
          <w:lang w:eastAsia="fr-FR"/>
        </w:rPr>
        <w:t xml:space="preserve">he preserved samples are analyzed in the </w:t>
      </w:r>
      <w:r>
        <w:rPr>
          <w:rFonts w:cs="Arial"/>
          <w:lang w:eastAsia="fr-FR"/>
        </w:rPr>
        <w:t>lab</w:t>
      </w:r>
      <w:r w:rsidRPr="00794C0C">
        <w:rPr>
          <w:rFonts w:cs="Arial"/>
          <w:lang w:eastAsia="fr-FR"/>
        </w:rPr>
        <w:t>oratory</w:t>
      </w:r>
      <w:r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 xml:space="preserve">with a segmented flow analyzer (Skalar) equipped with colorimetric detection using </w:t>
      </w:r>
      <w:r>
        <w:rPr>
          <w:rFonts w:cs="Arial"/>
          <w:lang w:eastAsia="fr-FR"/>
        </w:rPr>
        <w:t xml:space="preserve">the classical </w:t>
      </w:r>
      <w:r w:rsidRPr="00794C0C">
        <w:rPr>
          <w:rFonts w:cs="Arial"/>
          <w:lang w:eastAsia="fr-FR"/>
        </w:rPr>
        <w:t xml:space="preserve">methods described in Aminot </w:t>
      </w:r>
      <w:r>
        <w:rPr>
          <w:rFonts w:cs="Arial"/>
          <w:lang w:eastAsia="fr-FR"/>
        </w:rPr>
        <w:t>&amp;</w:t>
      </w:r>
      <w:r w:rsidRPr="00794C0C">
        <w:rPr>
          <w:rFonts w:cs="Arial"/>
          <w:lang w:eastAsia="fr-FR"/>
        </w:rPr>
        <w:t xml:space="preserve"> Kérouel</w:t>
      </w:r>
      <w:r>
        <w:rPr>
          <w:rFonts w:cs="Arial"/>
          <w:lang w:eastAsia="fr-FR"/>
        </w:rPr>
        <w:t xml:space="preserve"> (</w:t>
      </w:r>
      <w:r w:rsidRPr="00794C0C">
        <w:rPr>
          <w:rFonts w:cs="Arial"/>
          <w:lang w:eastAsia="fr-FR"/>
        </w:rPr>
        <w:t>2007). The accuracy of the methods was assessed using reference material (Certipur,</w:t>
      </w:r>
      <w:r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>Merck). The precisions were in the range of 1–4 %, and the limit of detection was 0.02</w:t>
      </w:r>
      <w:r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>μM for NO</w:t>
      </w:r>
      <w:r w:rsidRPr="00794C0C">
        <w:rPr>
          <w:rFonts w:cs="Arial"/>
          <w:vertAlign w:val="subscript"/>
          <w:lang w:eastAsia="fr-FR"/>
        </w:rPr>
        <w:t>3</w:t>
      </w:r>
      <w:r>
        <w:rPr>
          <w:rFonts w:cs="Arial"/>
          <w:vertAlign w:val="superscript"/>
          <w:lang w:eastAsia="fr-FR"/>
        </w:rPr>
        <w:t>–</w:t>
      </w:r>
      <w:r w:rsidRPr="004A6C66"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>and NO</w:t>
      </w:r>
      <w:r w:rsidRPr="00794C0C">
        <w:rPr>
          <w:rFonts w:cs="Arial"/>
          <w:vertAlign w:val="subscript"/>
          <w:lang w:eastAsia="fr-FR"/>
        </w:rPr>
        <w:t>2</w:t>
      </w:r>
      <w:r>
        <w:rPr>
          <w:rFonts w:cs="Arial"/>
          <w:vertAlign w:val="superscript"/>
          <w:lang w:eastAsia="fr-FR"/>
        </w:rPr>
        <w:t>–</w:t>
      </w:r>
      <w:r w:rsidRPr="004A6C66">
        <w:rPr>
          <w:rFonts w:cs="Arial"/>
          <w:lang w:eastAsia="fr-FR"/>
        </w:rPr>
        <w:t>,</w:t>
      </w:r>
      <w:r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>0.03</w:t>
      </w:r>
      <w:r>
        <w:rPr>
          <w:rFonts w:cs="Arial"/>
          <w:lang w:eastAsia="fr-FR"/>
        </w:rPr>
        <w:t xml:space="preserve"> </w:t>
      </w:r>
      <w:r w:rsidRPr="00794C0C">
        <w:rPr>
          <w:rFonts w:cs="Arial"/>
          <w:lang w:eastAsia="fr-FR"/>
        </w:rPr>
        <w:t>μM for PO</w:t>
      </w:r>
      <w:r w:rsidRPr="00794C0C">
        <w:rPr>
          <w:rFonts w:cs="Arial"/>
          <w:vertAlign w:val="subscript"/>
          <w:lang w:eastAsia="fr-FR"/>
        </w:rPr>
        <w:t>4</w:t>
      </w:r>
      <w:r w:rsidRPr="00794C0C">
        <w:rPr>
          <w:rFonts w:cs="Arial"/>
          <w:vertAlign w:val="superscript"/>
          <w:lang w:eastAsia="fr-FR"/>
        </w:rPr>
        <w:t>3</w:t>
      </w:r>
      <w:r>
        <w:rPr>
          <w:rFonts w:cs="Arial"/>
          <w:vertAlign w:val="superscript"/>
          <w:lang w:eastAsia="fr-FR"/>
        </w:rPr>
        <w:t xml:space="preserve">– </w:t>
      </w:r>
      <w:r w:rsidRPr="00AA1A32">
        <w:rPr>
          <w:rFonts w:cs="Arial"/>
          <w:color w:val="000000" w:themeColor="text1"/>
          <w:lang w:eastAsia="fr-FR"/>
        </w:rPr>
        <w:t xml:space="preserve">and </w:t>
      </w:r>
      <w:r w:rsidR="00623781" w:rsidRPr="00AA1A32">
        <w:rPr>
          <w:rFonts w:cs="Arial"/>
          <w:color w:val="000000" w:themeColor="text1"/>
          <w:lang w:eastAsia="fr-FR"/>
        </w:rPr>
        <w:t>0.05</w:t>
      </w:r>
      <w:r w:rsidR="00BA7778" w:rsidRPr="00AA1A32">
        <w:rPr>
          <w:rFonts w:cs="Arial"/>
          <w:color w:val="000000" w:themeColor="text1"/>
          <w:lang w:eastAsia="fr-FR"/>
        </w:rPr>
        <w:t xml:space="preserve"> µM </w:t>
      </w:r>
      <w:r>
        <w:rPr>
          <w:rFonts w:cs="Arial"/>
          <w:lang w:eastAsia="fr-FR"/>
        </w:rPr>
        <w:t xml:space="preserve">for </w:t>
      </w:r>
      <w:r w:rsidRPr="004A6C66">
        <w:rPr>
          <w:rFonts w:cs="Arial"/>
          <w:lang w:eastAsia="fr-FR"/>
        </w:rPr>
        <w:t>H</w:t>
      </w:r>
      <w:r w:rsidRPr="004A6C66">
        <w:rPr>
          <w:rFonts w:cs="Arial"/>
          <w:vertAlign w:val="subscript"/>
          <w:lang w:eastAsia="fr-FR"/>
        </w:rPr>
        <w:t>4</w:t>
      </w:r>
      <w:r w:rsidRPr="004A6C66">
        <w:rPr>
          <w:rFonts w:cs="Arial"/>
          <w:lang w:eastAsia="fr-FR"/>
        </w:rPr>
        <w:t>SiO</w:t>
      </w:r>
      <w:r w:rsidRPr="004A6C66">
        <w:rPr>
          <w:rFonts w:cs="Arial"/>
          <w:vertAlign w:val="subscript"/>
          <w:lang w:eastAsia="fr-FR"/>
        </w:rPr>
        <w:t>4</w:t>
      </w:r>
      <w:r>
        <w:rPr>
          <w:rFonts w:cs="Arial"/>
          <w:vertAlign w:val="subscript"/>
          <w:lang w:eastAsia="fr-FR"/>
        </w:rPr>
        <w:t xml:space="preserve"> </w:t>
      </w:r>
      <w:r w:rsidRPr="004A6C66">
        <w:rPr>
          <w:rFonts w:cs="Arial"/>
          <w:lang w:eastAsia="fr-FR"/>
        </w:rPr>
        <w:t>(B</w:t>
      </w:r>
      <w:r w:rsidRPr="00815729">
        <w:rPr>
          <w:rFonts w:cs="Arial"/>
          <w:lang w:eastAsia="fr-FR"/>
        </w:rPr>
        <w:t>lain</w:t>
      </w:r>
      <w:r>
        <w:rPr>
          <w:rFonts w:cs="Arial"/>
          <w:vertAlign w:val="superscript"/>
          <w:lang w:eastAsia="fr-FR"/>
        </w:rPr>
        <w:t xml:space="preserve"> </w:t>
      </w:r>
      <w:r w:rsidRPr="004A6C66">
        <w:rPr>
          <w:rFonts w:cs="Arial"/>
          <w:i/>
          <w:lang w:eastAsia="fr-FR"/>
        </w:rPr>
        <w:t>et al.</w:t>
      </w:r>
      <w:r w:rsidR="00BA7778">
        <w:rPr>
          <w:rFonts w:cs="Arial"/>
          <w:lang w:eastAsia="fr-FR"/>
        </w:rPr>
        <w:t>,</w:t>
      </w:r>
      <w:r>
        <w:rPr>
          <w:rFonts w:cs="Arial"/>
          <w:lang w:eastAsia="fr-FR"/>
        </w:rPr>
        <w:t xml:space="preserve"> 2015).</w:t>
      </w:r>
    </w:p>
    <w:p w:rsidR="00AE2BD6" w:rsidRDefault="00AE2BD6" w:rsidP="00D0498F">
      <w:pPr>
        <w:pStyle w:val="Titre2"/>
      </w:pPr>
      <w:r>
        <w:t>Units</w:t>
      </w:r>
    </w:p>
    <w:p w:rsidR="0064095B" w:rsidRPr="00BA7778" w:rsidRDefault="00BA7778" w:rsidP="009A371C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 w:rsidRPr="00BA7778">
        <w:rPr>
          <w:rFonts w:ascii="Arial" w:hAnsi="Arial" w:cs="Arial"/>
          <w:lang w:val="en-US" w:eastAsia="fr-FR"/>
        </w:rPr>
        <w:t>NO</w:t>
      </w:r>
      <w:r w:rsidRPr="00BA7778">
        <w:rPr>
          <w:rFonts w:ascii="Arial" w:hAnsi="Arial" w:cs="Arial"/>
          <w:vertAlign w:val="subscript"/>
          <w:lang w:val="en-US" w:eastAsia="fr-FR"/>
        </w:rPr>
        <w:t>3</w:t>
      </w:r>
      <w:r w:rsidRPr="00BA7778">
        <w:rPr>
          <w:rFonts w:ascii="Arial" w:hAnsi="Arial" w:cs="Arial"/>
          <w:vertAlign w:val="superscript"/>
          <w:lang w:val="en-US" w:eastAsia="fr-FR"/>
        </w:rPr>
        <w:t>–</w:t>
      </w:r>
      <w:r w:rsidRPr="00BA7778">
        <w:rPr>
          <w:rFonts w:ascii="Arial" w:hAnsi="Arial" w:cs="Arial"/>
          <w:lang w:val="en-US" w:eastAsia="fr-FR"/>
        </w:rPr>
        <w:t>, NO</w:t>
      </w:r>
      <w:r w:rsidRPr="00BA7778">
        <w:rPr>
          <w:rFonts w:ascii="Arial" w:hAnsi="Arial" w:cs="Arial"/>
          <w:vertAlign w:val="subscript"/>
          <w:lang w:val="en-US" w:eastAsia="fr-FR"/>
        </w:rPr>
        <w:t>2</w:t>
      </w:r>
      <w:r w:rsidRPr="00BA7778">
        <w:rPr>
          <w:rFonts w:ascii="Arial" w:hAnsi="Arial" w:cs="Arial"/>
          <w:vertAlign w:val="superscript"/>
          <w:lang w:val="en-US" w:eastAsia="fr-FR"/>
        </w:rPr>
        <w:t>–</w:t>
      </w:r>
      <w:r w:rsidRPr="00BA7778">
        <w:rPr>
          <w:rFonts w:ascii="Arial" w:hAnsi="Arial" w:cs="Arial"/>
          <w:lang w:val="en-US" w:eastAsia="fr-FR"/>
        </w:rPr>
        <w:t>, PO</w:t>
      </w:r>
      <w:r w:rsidRPr="00BA7778">
        <w:rPr>
          <w:rFonts w:ascii="Arial" w:hAnsi="Arial" w:cs="Arial"/>
          <w:vertAlign w:val="subscript"/>
          <w:lang w:val="en-US" w:eastAsia="fr-FR"/>
        </w:rPr>
        <w:t>4</w:t>
      </w:r>
      <w:r w:rsidRPr="00BA7778">
        <w:rPr>
          <w:rFonts w:ascii="Arial" w:hAnsi="Arial" w:cs="Arial"/>
          <w:vertAlign w:val="superscript"/>
          <w:lang w:val="en-US" w:eastAsia="fr-FR"/>
        </w:rPr>
        <w:t>3–</w:t>
      </w:r>
      <w:r w:rsidRPr="00BA7778">
        <w:rPr>
          <w:rFonts w:ascii="Arial" w:hAnsi="Arial" w:cs="Arial"/>
          <w:lang w:val="en-US" w:eastAsia="fr-FR"/>
        </w:rPr>
        <w:t xml:space="preserve"> and H</w:t>
      </w:r>
      <w:r w:rsidRPr="00BA7778">
        <w:rPr>
          <w:rFonts w:ascii="Arial" w:hAnsi="Arial" w:cs="Arial"/>
          <w:vertAlign w:val="subscript"/>
          <w:lang w:val="en-US" w:eastAsia="fr-FR"/>
        </w:rPr>
        <w:t>4</w:t>
      </w:r>
      <w:r w:rsidRPr="00BA7778">
        <w:rPr>
          <w:rFonts w:ascii="Arial" w:hAnsi="Arial" w:cs="Arial"/>
          <w:lang w:val="en-US" w:eastAsia="fr-FR"/>
        </w:rPr>
        <w:t>SiO</w:t>
      </w:r>
      <w:r w:rsidRPr="00BA7778">
        <w:rPr>
          <w:rFonts w:ascii="Arial" w:hAnsi="Arial" w:cs="Arial"/>
          <w:vertAlign w:val="subscript"/>
          <w:lang w:val="en-US" w:eastAsia="fr-FR"/>
        </w:rPr>
        <w:t>4</w:t>
      </w:r>
      <w:r w:rsidRPr="00BA7778">
        <w:rPr>
          <w:rFonts w:ascii="Arial" w:hAnsi="Arial" w:cs="Arial"/>
          <w:lang w:val="en-US" w:eastAsia="fr-FR"/>
        </w:rPr>
        <w:t xml:space="preserve"> </w:t>
      </w:r>
      <w:r w:rsidR="008E4EAD" w:rsidRPr="00BA7778">
        <w:rPr>
          <w:rFonts w:ascii="Arial" w:hAnsi="Arial" w:cs="Arial"/>
          <w:lang w:val="en-US"/>
        </w:rPr>
        <w:t>concentration</w:t>
      </w:r>
      <w:r w:rsidRPr="00BA7778">
        <w:rPr>
          <w:rFonts w:ascii="Arial" w:hAnsi="Arial" w:cs="Arial"/>
          <w:lang w:val="en-US"/>
        </w:rPr>
        <w:t>s</w:t>
      </w:r>
      <w:r w:rsidR="0064095B" w:rsidRPr="00BA7778">
        <w:rPr>
          <w:rFonts w:ascii="Arial" w:hAnsi="Arial" w:cs="Arial"/>
          <w:lang w:val="en-US"/>
        </w:rPr>
        <w:t>:</w:t>
      </w:r>
      <w:r w:rsidR="0064095B" w:rsidRPr="00BA7778">
        <w:rPr>
          <w:rFonts w:ascii="Arial" w:hAnsi="Arial" w:cs="Arial"/>
          <w:lang w:val="en-US"/>
        </w:rPr>
        <w:tab/>
      </w:r>
      <w:r w:rsidR="007450E7">
        <w:rPr>
          <w:rFonts w:ascii="Arial" w:hAnsi="Arial" w:cs="Arial"/>
          <w:lang w:val="en-US"/>
        </w:rPr>
        <w:t>µM</w:t>
      </w:r>
      <w:r w:rsidR="0064095B" w:rsidRPr="00BA7778">
        <w:rPr>
          <w:rFonts w:ascii="Arial" w:hAnsi="Arial" w:cs="Arial"/>
          <w:lang w:val="en-US"/>
        </w:rPr>
        <w:t xml:space="preserve"> </w:t>
      </w:r>
    </w:p>
    <w:p w:rsidR="00AE2BD6" w:rsidRPr="00D0498F" w:rsidRDefault="00AE2BD6" w:rsidP="00D0498F">
      <w:pPr>
        <w:pStyle w:val="Titre2"/>
      </w:pPr>
      <w:r w:rsidRPr="00D0498F">
        <w:t>Sensor precision</w:t>
      </w:r>
      <w:bookmarkStart w:id="0" w:name="_GoBack"/>
      <w:bookmarkEnd w:id="0"/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8E4EAD" w:rsidP="00D0498F">
      <w:pPr>
        <w:pStyle w:val="Paragraphestandard"/>
      </w:pPr>
      <w:r>
        <w:t>6 months after the cruise</w:t>
      </w:r>
    </w:p>
    <w:p w:rsidR="00AE2BD6" w:rsidRDefault="00D0498F" w:rsidP="00D0498F">
      <w:pPr>
        <w:pStyle w:val="Titre1"/>
      </w:pPr>
      <w:r w:rsidRPr="00D0498F">
        <w:t>BIBLIOGRAPHY</w:t>
      </w:r>
    </w:p>
    <w:p w:rsidR="00BA7778" w:rsidRDefault="00BA7778" w:rsidP="00BA7778">
      <w:pPr>
        <w:widowControl w:val="0"/>
        <w:spacing w:before="120"/>
        <w:ind w:left="992" w:hanging="992"/>
        <w:jc w:val="both"/>
        <w:rPr>
          <w:rFonts w:ascii="Arial" w:hAnsi="Arial" w:cs="Arial"/>
        </w:rPr>
      </w:pPr>
      <w:r w:rsidRPr="00BA7778">
        <w:rPr>
          <w:rFonts w:ascii="Arial" w:hAnsi="Arial" w:cs="Arial"/>
        </w:rPr>
        <w:t xml:space="preserve">Aminot A., Kérouel, R., 2007. </w:t>
      </w:r>
      <w:r w:rsidRPr="00BA7778">
        <w:rPr>
          <w:rFonts w:ascii="Arial" w:hAnsi="Arial" w:cs="Arial"/>
          <w:i/>
        </w:rPr>
        <w:t xml:space="preserve">Dosage automatique des nutriments dans les eaux </w:t>
      </w:r>
      <w:r w:rsidRPr="00BA7778">
        <w:rPr>
          <w:rFonts w:ascii="Arial" w:hAnsi="Arial" w:cs="Arial"/>
          <w:i/>
        </w:rPr>
        <w:lastRenderedPageBreak/>
        <w:t>marines, méthodes en flux continu</w:t>
      </w:r>
      <w:r w:rsidRPr="00911C70">
        <w:rPr>
          <w:rFonts w:ascii="Arial" w:hAnsi="Arial" w:cs="Arial"/>
        </w:rPr>
        <w:t>, Ifremer</w:t>
      </w:r>
      <w:r>
        <w:rPr>
          <w:rFonts w:ascii="Arial" w:hAnsi="Arial" w:cs="Arial"/>
        </w:rPr>
        <w:t xml:space="preserve"> (ed.)</w:t>
      </w:r>
      <w:r w:rsidRPr="00911C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188 pp.</w:t>
      </w:r>
    </w:p>
    <w:p w:rsidR="00BA7778" w:rsidRDefault="00BA7778" w:rsidP="00BA7778">
      <w:pPr>
        <w:widowControl w:val="0"/>
        <w:spacing w:before="120"/>
        <w:ind w:left="992" w:hanging="992"/>
        <w:jc w:val="both"/>
        <w:rPr>
          <w:rFonts w:ascii="Arial" w:hAnsi="Arial" w:cs="Arial"/>
          <w:lang w:val="en-US"/>
        </w:rPr>
      </w:pPr>
      <w:r w:rsidRPr="00422749">
        <w:rPr>
          <w:rFonts w:ascii="Arial" w:hAnsi="Arial" w:cs="Arial"/>
          <w:lang w:val="en-US"/>
        </w:rPr>
        <w:t>Blain S., Capparos J., Guéneuguès A., Obernosterer I., Oriol L., 2015. Distributions and stoichiometry of dissolved nitro</w:t>
      </w:r>
      <w:r w:rsidRPr="00BD4DC9">
        <w:rPr>
          <w:rFonts w:ascii="Arial" w:hAnsi="Arial" w:cs="Arial"/>
          <w:lang w:val="en-US"/>
        </w:rPr>
        <w:t xml:space="preserve">gen and phosphorus in the iron-fertilized region near Kerguelen (Southern Ocean). </w:t>
      </w:r>
      <w:r w:rsidRPr="00BA7778">
        <w:rPr>
          <w:rFonts w:ascii="Arial" w:hAnsi="Arial" w:cs="Arial"/>
          <w:i/>
          <w:lang w:val="en-US"/>
        </w:rPr>
        <w:t>Biogeosciences</w:t>
      </w:r>
      <w:r w:rsidRPr="00BA7778">
        <w:rPr>
          <w:rFonts w:ascii="Arial" w:hAnsi="Arial" w:cs="Arial"/>
          <w:lang w:val="en-US"/>
        </w:rPr>
        <w:t xml:space="preserve">, </w:t>
      </w:r>
      <w:r w:rsidRPr="00BA7778">
        <w:rPr>
          <w:rFonts w:ascii="Arial" w:hAnsi="Arial" w:cs="Arial"/>
          <w:b/>
          <w:lang w:val="en-US"/>
        </w:rPr>
        <w:t>12</w:t>
      </w:r>
      <w:r>
        <w:rPr>
          <w:rFonts w:ascii="Arial" w:hAnsi="Arial" w:cs="Arial"/>
          <w:lang w:val="en-US"/>
        </w:rPr>
        <w:t>, 623-635.</w:t>
      </w:r>
    </w:p>
    <w:p w:rsidR="00BA7778" w:rsidRDefault="00BA7778" w:rsidP="00BA7778">
      <w:pPr>
        <w:widowControl w:val="0"/>
        <w:ind w:left="992" w:hanging="992"/>
        <w:jc w:val="both"/>
        <w:rPr>
          <w:rStyle w:val="pbtoclink"/>
          <w:rFonts w:ascii="Arial" w:hAnsi="Arial" w:cs="Arial"/>
          <w:lang w:val="en-US"/>
        </w:rPr>
      </w:pPr>
      <w:r>
        <w:rPr>
          <w:rStyle w:val="pbtoclink"/>
          <w:rFonts w:ascii="Arial" w:hAnsi="Arial" w:cs="Arial"/>
          <w:lang w:val="en-US"/>
        </w:rPr>
        <w:tab/>
      </w:r>
      <w:hyperlink r:id="rId12" w:history="1">
        <w:r w:rsidRPr="000B73AA">
          <w:rPr>
            <w:rStyle w:val="Lienhypertexte"/>
            <w:rFonts w:ascii="Arial" w:hAnsi="Arial" w:cs="Arial"/>
            <w:lang w:val="en-US"/>
          </w:rPr>
          <w:t>https://doi.org/10.5194/bg-12-623-2015</w:t>
        </w:r>
      </w:hyperlink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AB" w:rsidRDefault="00507AAB" w:rsidP="001400EB">
      <w:r>
        <w:separator/>
      </w:r>
    </w:p>
  </w:endnote>
  <w:endnote w:type="continuationSeparator" w:id="0">
    <w:p w:rsidR="00507AAB" w:rsidRDefault="00507AAB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AB" w:rsidRDefault="00507AAB" w:rsidP="001400EB">
      <w:r>
        <w:separator/>
      </w:r>
    </w:p>
  </w:footnote>
  <w:footnote w:type="continuationSeparator" w:id="0">
    <w:p w:rsidR="00507AAB" w:rsidRDefault="00507AAB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  <w:lang w:eastAsia="fr-FR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DC4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A9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32A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0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89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2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64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4D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0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8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B44"/>
    <w:rsid w:val="00090396"/>
    <w:rsid w:val="001400EB"/>
    <w:rsid w:val="00242833"/>
    <w:rsid w:val="002F5641"/>
    <w:rsid w:val="00347739"/>
    <w:rsid w:val="0035228D"/>
    <w:rsid w:val="004041E5"/>
    <w:rsid w:val="00422749"/>
    <w:rsid w:val="004A6C66"/>
    <w:rsid w:val="00507AAB"/>
    <w:rsid w:val="00590B44"/>
    <w:rsid w:val="005A6C46"/>
    <w:rsid w:val="005C3343"/>
    <w:rsid w:val="00623781"/>
    <w:rsid w:val="0064095B"/>
    <w:rsid w:val="006A7880"/>
    <w:rsid w:val="006D2B5E"/>
    <w:rsid w:val="00726E94"/>
    <w:rsid w:val="007450E7"/>
    <w:rsid w:val="00751E33"/>
    <w:rsid w:val="008953A5"/>
    <w:rsid w:val="008E4EAD"/>
    <w:rsid w:val="008F2881"/>
    <w:rsid w:val="008F78F4"/>
    <w:rsid w:val="00900E02"/>
    <w:rsid w:val="00986320"/>
    <w:rsid w:val="009B2FFA"/>
    <w:rsid w:val="00AA1A32"/>
    <w:rsid w:val="00AE2BD6"/>
    <w:rsid w:val="00B917AF"/>
    <w:rsid w:val="00B95F85"/>
    <w:rsid w:val="00BA7778"/>
    <w:rsid w:val="00C54ED5"/>
    <w:rsid w:val="00C92DDC"/>
    <w:rsid w:val="00CE2744"/>
    <w:rsid w:val="00CE5B94"/>
    <w:rsid w:val="00D0498F"/>
    <w:rsid w:val="00D74D4F"/>
    <w:rsid w:val="00D95330"/>
    <w:rsid w:val="00DD78A1"/>
    <w:rsid w:val="00EC4908"/>
    <w:rsid w:val="00F41DB0"/>
    <w:rsid w:val="00FB3DF8"/>
    <w:rsid w:val="00FB5C0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C1F6"/>
  <w14:defaultImageDpi w14:val="32767"/>
  <w15:docId w15:val="{0239399E-5124-A44D-9E1C-C9D35EA8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pbtoclink">
    <w:name w:val="pb_toc_link"/>
    <w:rsid w:val="00BA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6237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doi.org/10.5194/bg-12-62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e.blain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blain@obs-banyul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6</cp:revision>
  <dcterms:created xsi:type="dcterms:W3CDTF">2018-05-14T15:26:00Z</dcterms:created>
  <dcterms:modified xsi:type="dcterms:W3CDTF">2018-06-26T11:07:00Z</dcterms:modified>
</cp:coreProperties>
</file>