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 w:rsidP="00A67CB6">
      <w:pPr>
        <w:ind w:left="1701" w:hanging="1701"/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>et name:</w:t>
      </w:r>
      <w:r w:rsidR="00A67CB6">
        <w:rPr>
          <w:rFonts w:ascii="Arial" w:hAnsi="Arial" w:cs="Arial"/>
          <w:lang w:val="en-US"/>
        </w:rPr>
        <w:tab/>
      </w:r>
      <w:r w:rsidR="00C00E39">
        <w:rPr>
          <w:rFonts w:ascii="Arial" w:hAnsi="Arial" w:cs="Arial"/>
          <w:b/>
          <w:color w:val="0070C0"/>
          <w:lang w:val="en-US"/>
        </w:rPr>
        <w:t>Suspended particle chemistry and biochemistry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B0111D" w:rsidRPr="006953C4" w:rsidTr="001B287E">
        <w:tc>
          <w:tcPr>
            <w:tcW w:w="1555" w:type="dxa"/>
          </w:tcPr>
          <w:p w:rsidR="00B0111D" w:rsidRPr="00A40EE8" w:rsidRDefault="00B0111D" w:rsidP="001B287E">
            <w:pPr>
              <w:spacing w:before="60"/>
              <w:rPr>
                <w:rFonts w:ascii="Arial" w:hAnsi="Arial" w:cs="Arial"/>
                <w:lang w:val="en-US"/>
              </w:rPr>
            </w:pPr>
            <w:r w:rsidRPr="00A40EE8">
              <w:rPr>
                <w:rFonts w:ascii="Arial" w:hAnsi="Arial" w:cs="Arial"/>
                <w:lang w:val="en-US"/>
              </w:rPr>
              <w:t>Parameters:</w:t>
            </w:r>
          </w:p>
          <w:p w:rsidR="00B0111D" w:rsidRPr="00A40EE8" w:rsidRDefault="00B0111D" w:rsidP="001B287E">
            <w:pPr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7654" w:type="dxa"/>
          </w:tcPr>
          <w:p w:rsidR="00B0111D" w:rsidRPr="00C00E39" w:rsidRDefault="00B0111D" w:rsidP="00B0111D">
            <w:pPr>
              <w:pStyle w:val="Paragraphedeliste"/>
              <w:tabs>
                <w:tab w:val="clear" w:pos="3969"/>
              </w:tabs>
              <w:spacing w:line="240" w:lineRule="auto"/>
              <w:rPr>
                <w:b/>
                <w:color w:val="0070C0"/>
                <w:lang w:val="en-GB"/>
              </w:rPr>
            </w:pPr>
            <w:r>
              <w:rPr>
                <w:b/>
                <w:color w:val="0070C0"/>
              </w:rPr>
              <w:t>POC, PN, δ</w:t>
            </w:r>
            <w:r w:rsidRPr="00B0111D">
              <w:rPr>
                <w:b/>
                <w:color w:val="0070C0"/>
                <w:vertAlign w:val="superscript"/>
              </w:rPr>
              <w:t>13</w:t>
            </w:r>
            <w:r>
              <w:rPr>
                <w:b/>
                <w:color w:val="0070C0"/>
              </w:rPr>
              <w:t>C, δ</w:t>
            </w:r>
            <w:r w:rsidRPr="00B0111D">
              <w:rPr>
                <w:b/>
                <w:color w:val="0070C0"/>
                <w:vertAlign w:val="superscript"/>
              </w:rPr>
              <w:t>15</w:t>
            </w:r>
            <w:r>
              <w:rPr>
                <w:b/>
                <w:color w:val="0070C0"/>
              </w:rPr>
              <w:t>N</w:t>
            </w:r>
          </w:p>
          <w:p w:rsidR="00B0111D" w:rsidRPr="00C00E39" w:rsidRDefault="00B0111D" w:rsidP="00B0111D">
            <w:pPr>
              <w:pStyle w:val="Paragraphedeliste"/>
              <w:tabs>
                <w:tab w:val="clear" w:pos="3969"/>
              </w:tabs>
              <w:spacing w:line="240" w:lineRule="auto"/>
              <w:rPr>
                <w:b/>
                <w:color w:val="0070C0"/>
                <w:lang w:val="en-GB"/>
              </w:rPr>
            </w:pPr>
            <w:r>
              <w:rPr>
                <w:b/>
                <w:color w:val="0070C0"/>
              </w:rPr>
              <w:t>BSi, LSi</w:t>
            </w:r>
          </w:p>
          <w:p w:rsidR="00B0111D" w:rsidRPr="007D7489" w:rsidRDefault="00B0111D" w:rsidP="00B0111D">
            <w:pPr>
              <w:pStyle w:val="Paragraphedeliste"/>
              <w:tabs>
                <w:tab w:val="clear" w:pos="3969"/>
              </w:tabs>
              <w:spacing w:line="240" w:lineRule="auto"/>
              <w:rPr>
                <w:b/>
                <w:color w:val="0070C0"/>
                <w:lang w:val="en-GB"/>
              </w:rPr>
            </w:pPr>
            <w:r>
              <w:rPr>
                <w:b/>
                <w:color w:val="0070C0"/>
              </w:rPr>
              <w:t>Particulate POP, Ca, Na, Al</w:t>
            </w:r>
          </w:p>
          <w:p w:rsidR="00B0111D" w:rsidRPr="007D7489" w:rsidRDefault="00B0111D" w:rsidP="00B0111D">
            <w:pPr>
              <w:pStyle w:val="Paragraphedeliste"/>
              <w:tabs>
                <w:tab w:val="clear" w:pos="3969"/>
              </w:tabs>
              <w:spacing w:line="240" w:lineRule="auto"/>
              <w:rPr>
                <w:b/>
                <w:color w:val="0070C0"/>
                <w:lang w:val="en-GB"/>
              </w:rPr>
            </w:pPr>
            <w:r>
              <w:rPr>
                <w:b/>
                <w:color w:val="0070C0"/>
              </w:rPr>
              <w:t xml:space="preserve">Particulate </w:t>
            </w:r>
            <w:r w:rsidRPr="00B0111D">
              <w:rPr>
                <w:b/>
                <w:color w:val="0070C0"/>
                <w:vertAlign w:val="superscript"/>
              </w:rPr>
              <w:t>234</w:t>
            </w:r>
            <w:r>
              <w:rPr>
                <w:b/>
                <w:color w:val="0070C0"/>
              </w:rPr>
              <w:t>Th</w:t>
            </w:r>
          </w:p>
          <w:p w:rsidR="00B0111D" w:rsidRPr="00A555A1" w:rsidRDefault="00B0111D" w:rsidP="00B0111D">
            <w:pPr>
              <w:pStyle w:val="Paragraphedeliste"/>
              <w:tabs>
                <w:tab w:val="clear" w:pos="3969"/>
              </w:tabs>
              <w:spacing w:line="240" w:lineRule="auto"/>
              <w:contextualSpacing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Total </w:t>
            </w:r>
            <w:r w:rsidRPr="00A555A1">
              <w:rPr>
                <w:b/>
                <w:color w:val="0070C0"/>
              </w:rPr>
              <w:t xml:space="preserve">Fatty </w:t>
            </w:r>
            <w:r>
              <w:rPr>
                <w:b/>
                <w:color w:val="0070C0"/>
              </w:rPr>
              <w:t>Acids (FA) concentrations</w:t>
            </w:r>
          </w:p>
          <w:p w:rsidR="00B0111D" w:rsidRPr="00A555A1" w:rsidRDefault="00B0111D" w:rsidP="00B0111D">
            <w:pPr>
              <w:pStyle w:val="Paragraphedeliste"/>
              <w:tabs>
                <w:tab w:val="clear" w:pos="3969"/>
              </w:tabs>
              <w:spacing w:line="240" w:lineRule="auto"/>
              <w:rPr>
                <w:b/>
                <w:color w:val="0070C0"/>
              </w:rPr>
            </w:pPr>
            <w:r w:rsidRPr="00A555A1">
              <w:rPr>
                <w:b/>
                <w:color w:val="0070C0"/>
              </w:rPr>
              <w:t xml:space="preserve">Neutral and </w:t>
            </w:r>
            <w:r>
              <w:rPr>
                <w:b/>
                <w:color w:val="0070C0"/>
              </w:rPr>
              <w:t>P</w:t>
            </w:r>
            <w:r w:rsidRPr="00A555A1">
              <w:rPr>
                <w:b/>
                <w:color w:val="0070C0"/>
              </w:rPr>
              <w:t xml:space="preserve">olar </w:t>
            </w:r>
            <w:r>
              <w:rPr>
                <w:b/>
                <w:color w:val="0070C0"/>
              </w:rPr>
              <w:t>FA</w:t>
            </w:r>
            <w:r w:rsidRPr="00A555A1">
              <w:rPr>
                <w:b/>
                <w:color w:val="0070C0"/>
              </w:rPr>
              <w:t xml:space="preserve"> concentration</w:t>
            </w:r>
            <w:r>
              <w:rPr>
                <w:b/>
                <w:color w:val="0070C0"/>
              </w:rPr>
              <w:t>s</w:t>
            </w:r>
          </w:p>
          <w:p w:rsidR="00B0111D" w:rsidRDefault="00B0111D" w:rsidP="00B0111D">
            <w:pPr>
              <w:pStyle w:val="Paragraphedeliste"/>
              <w:tabs>
                <w:tab w:val="clear" w:pos="3969"/>
              </w:tabs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FA classes (SAFA, BACT, PUFA, MUFA) concentrations</w:t>
            </w:r>
          </w:p>
          <w:p w:rsidR="00B0111D" w:rsidRPr="00A555A1" w:rsidRDefault="00B0111D" w:rsidP="00B0111D">
            <w:pPr>
              <w:pStyle w:val="Paragraphedeliste"/>
              <w:tabs>
                <w:tab w:val="clear" w:pos="3969"/>
              </w:tabs>
              <w:spacing w:line="240" w:lineRule="auto"/>
              <w:rPr>
                <w:b/>
                <w:color w:val="0070C0"/>
              </w:rPr>
            </w:pPr>
            <w:r w:rsidRPr="000B79A5">
              <w:rPr>
                <w:b/>
                <w:color w:val="0070C0"/>
              </w:rPr>
              <w:t>EPA (20:5n-3) and DHA (22:6n-3)</w:t>
            </w:r>
            <w:r>
              <w:rPr>
                <w:b/>
                <w:color w:val="0070C0"/>
              </w:rPr>
              <w:t xml:space="preserve"> </w:t>
            </w:r>
            <w:r w:rsidRPr="003A6264">
              <w:rPr>
                <w:b/>
                <w:color w:val="0070C0"/>
              </w:rPr>
              <w:t>concentrations</w:t>
            </w:r>
          </w:p>
          <w:p w:rsidR="00B0111D" w:rsidRPr="00A40EE8" w:rsidRDefault="00B0111D" w:rsidP="00B0111D">
            <w:pPr>
              <w:pStyle w:val="Paragraphedeliste"/>
              <w:numPr>
                <w:ilvl w:val="0"/>
                <w:numId w:val="0"/>
              </w:numPr>
              <w:ind w:left="170"/>
              <w:rPr>
                <w:b/>
                <w:color w:val="0070C0"/>
                <w:lang w:val="en-GB"/>
              </w:rPr>
            </w:pPr>
          </w:p>
        </w:tc>
      </w:tr>
    </w:tbl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02548B">
        <w:rPr>
          <w:rFonts w:ascii="Arial" w:eastAsia="Arial Unicode MS" w:hAnsi="Arial" w:cs="Arial"/>
          <w:b/>
          <w:color w:val="0070C0"/>
          <w:lang w:val="en-US"/>
        </w:rPr>
        <w:t>Frédéric Planchon</w:t>
      </w:r>
    </w:p>
    <w:p w:rsidR="0002548B" w:rsidRDefault="0002548B" w:rsidP="00DD78A1">
      <w:pPr>
        <w:ind w:left="2410"/>
        <w:rPr>
          <w:rFonts w:ascii="Arial" w:eastAsia="Arial Unicode MS" w:hAnsi="Arial" w:cs="Arial"/>
          <w:lang w:val="en-US"/>
        </w:rPr>
      </w:pPr>
      <w:r w:rsidRPr="0002548B">
        <w:rPr>
          <w:rFonts w:ascii="Arial" w:eastAsia="Arial Unicode MS" w:hAnsi="Arial" w:cs="Arial"/>
          <w:lang w:val="en-US"/>
        </w:rPr>
        <w:t xml:space="preserve">Marine Environmental Science Laboratory </w:t>
      </w:r>
    </w:p>
    <w:p w:rsidR="00CF2832" w:rsidRDefault="0002548B" w:rsidP="00DD78A1">
      <w:pPr>
        <w:ind w:left="2410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University of Brest</w:t>
      </w:r>
    </w:p>
    <w:p w:rsidR="00C35F85" w:rsidRPr="00E55F89" w:rsidRDefault="0002548B" w:rsidP="00DD78A1">
      <w:pPr>
        <w:ind w:left="2410"/>
        <w:rPr>
          <w:rFonts w:ascii="Arial" w:eastAsia="Arial Unicode MS" w:hAnsi="Arial" w:cs="Arial"/>
        </w:rPr>
      </w:pPr>
      <w:r w:rsidRPr="00E55F89">
        <w:rPr>
          <w:rFonts w:ascii="Arial" w:eastAsia="Arial Unicode MS" w:hAnsi="Arial" w:cs="Arial"/>
        </w:rPr>
        <w:t>Rue Dumont d’Urville</w:t>
      </w:r>
    </w:p>
    <w:p w:rsidR="00CF2832" w:rsidRPr="00E55F89" w:rsidRDefault="0002548B" w:rsidP="00DD78A1">
      <w:pPr>
        <w:ind w:left="2410"/>
        <w:rPr>
          <w:rFonts w:ascii="Arial" w:eastAsia="Arial Unicode MS" w:hAnsi="Arial" w:cs="Arial"/>
        </w:rPr>
      </w:pPr>
      <w:r w:rsidRPr="00E55F89">
        <w:rPr>
          <w:rFonts w:ascii="Arial" w:eastAsia="Arial Unicode MS" w:hAnsi="Arial" w:cs="Arial"/>
        </w:rPr>
        <w:t>29280 Plouzané, France</w:t>
      </w:r>
    </w:p>
    <w:p w:rsidR="00386161" w:rsidRPr="00E55F89" w:rsidRDefault="00E7382A" w:rsidP="00DD78A1">
      <w:pPr>
        <w:ind w:left="2410"/>
        <w:rPr>
          <w:rFonts w:ascii="Arial" w:eastAsia="Arial Unicode MS" w:hAnsi="Arial" w:cs="Arial"/>
        </w:rPr>
      </w:pPr>
      <w:r w:rsidRPr="00E55F89">
        <w:rPr>
          <w:rFonts w:ascii="Arial" w:eastAsia="Arial Unicode MS" w:hAnsi="Arial" w:cs="Arial"/>
        </w:rPr>
        <w:t>+</w:t>
      </w:r>
      <w:r w:rsidR="0002548B" w:rsidRPr="00E55F89">
        <w:rPr>
          <w:rFonts w:ascii="Arial" w:eastAsia="Arial Unicode MS" w:hAnsi="Arial" w:cs="Arial"/>
        </w:rPr>
        <w:t>33</w:t>
      </w:r>
      <w:r w:rsidR="00C35F85" w:rsidRPr="00E55F89">
        <w:rPr>
          <w:rFonts w:ascii="Arial" w:eastAsia="Arial Unicode MS" w:hAnsi="Arial" w:cs="Arial"/>
        </w:rPr>
        <w:t xml:space="preserve"> </w:t>
      </w:r>
      <w:r w:rsidR="0002548B" w:rsidRPr="00E55F89">
        <w:rPr>
          <w:rFonts w:ascii="Arial" w:eastAsia="Arial Unicode MS" w:hAnsi="Arial" w:cs="Arial"/>
        </w:rPr>
        <w:t>2</w:t>
      </w:r>
      <w:r w:rsidR="00C35F85" w:rsidRPr="00E55F89">
        <w:rPr>
          <w:rFonts w:ascii="Arial" w:eastAsia="Arial Unicode MS" w:hAnsi="Arial" w:cs="Arial"/>
        </w:rPr>
        <w:t xml:space="preserve"> </w:t>
      </w:r>
      <w:r w:rsidR="0002548B" w:rsidRPr="00E55F89">
        <w:rPr>
          <w:rFonts w:ascii="Arial" w:eastAsia="Arial Unicode MS" w:hAnsi="Arial" w:cs="Arial"/>
        </w:rPr>
        <w:t>98 49 86 25</w:t>
      </w:r>
    </w:p>
    <w:p w:rsidR="006B704D" w:rsidRPr="00E55F89" w:rsidRDefault="00240FB3" w:rsidP="00DD78A1">
      <w:pPr>
        <w:ind w:left="2410"/>
        <w:rPr>
          <w:rFonts w:ascii="Arial" w:eastAsia="Arial Unicode MS" w:hAnsi="Arial" w:cs="Arial"/>
        </w:rPr>
      </w:pPr>
      <w:hyperlink r:id="rId9" w:history="1">
        <w:r w:rsidR="0002548B" w:rsidRPr="00E55F89">
          <w:rPr>
            <w:rStyle w:val="Lienhypertexte"/>
            <w:rFonts w:ascii="Arial" w:eastAsia="Arial Unicode MS" w:hAnsi="Arial" w:cs="Arial"/>
          </w:rPr>
          <w:t>frederic.planchon@univ-brest.fr</w:t>
        </w:r>
      </w:hyperlink>
      <w:r w:rsidR="0002548B" w:rsidRPr="00E55F89">
        <w:rPr>
          <w:rFonts w:ascii="Arial" w:eastAsia="Arial Unicode MS" w:hAnsi="Arial" w:cs="Arial"/>
        </w:rPr>
        <w:t xml:space="preserve"> </w:t>
      </w:r>
    </w:p>
    <w:p w:rsidR="00DD78A1" w:rsidRPr="00E55F89" w:rsidRDefault="00DD78A1" w:rsidP="00DD78A1">
      <w:pPr>
        <w:ind w:left="1843"/>
        <w:rPr>
          <w:rFonts w:ascii="Arial" w:hAnsi="Arial" w:cs="Arial"/>
        </w:rPr>
      </w:pPr>
    </w:p>
    <w:p w:rsidR="0002548B" w:rsidRPr="00E55F89" w:rsidRDefault="00DD78A1" w:rsidP="0002548B">
      <w:pPr>
        <w:ind w:left="2410" w:hanging="2410"/>
        <w:rPr>
          <w:rFonts w:ascii="Arial" w:hAnsi="Arial" w:cs="Arial"/>
        </w:rPr>
      </w:pPr>
      <w:r w:rsidRPr="00E55F89">
        <w:rPr>
          <w:rFonts w:ascii="Arial" w:hAnsi="Arial" w:cs="Arial"/>
        </w:rPr>
        <w:t>Dataset contact:</w:t>
      </w:r>
      <w:r w:rsidRPr="00E55F89">
        <w:rPr>
          <w:rFonts w:ascii="Arial" w:hAnsi="Arial" w:cs="Arial"/>
        </w:rPr>
        <w:tab/>
      </w:r>
      <w:r w:rsidR="0002548B" w:rsidRPr="00E55F89">
        <w:rPr>
          <w:rFonts w:ascii="Arial" w:eastAsia="Arial Unicode MS" w:hAnsi="Arial" w:cs="Arial"/>
          <w:b/>
          <w:color w:val="0070C0"/>
        </w:rPr>
        <w:t>Frédéric Planchon</w:t>
      </w:r>
    </w:p>
    <w:p w:rsidR="0002548B" w:rsidRPr="00E55F89" w:rsidRDefault="0002548B" w:rsidP="0002548B">
      <w:pPr>
        <w:ind w:left="2410"/>
        <w:rPr>
          <w:rFonts w:ascii="Arial" w:eastAsia="Arial Unicode MS" w:hAnsi="Arial" w:cs="Arial"/>
        </w:rPr>
      </w:pPr>
      <w:r w:rsidRPr="00E55F89">
        <w:rPr>
          <w:rFonts w:ascii="Arial" w:eastAsia="Arial Unicode MS" w:hAnsi="Arial" w:cs="Arial"/>
        </w:rPr>
        <w:t xml:space="preserve">Marine Environmental Science Laboratory </w:t>
      </w:r>
    </w:p>
    <w:p w:rsidR="0002548B" w:rsidRPr="00E55F89" w:rsidRDefault="0002548B" w:rsidP="0002548B">
      <w:pPr>
        <w:ind w:left="2410"/>
        <w:rPr>
          <w:rFonts w:ascii="Arial" w:eastAsia="Arial Unicode MS" w:hAnsi="Arial" w:cs="Arial"/>
        </w:rPr>
      </w:pPr>
      <w:r w:rsidRPr="00E55F89">
        <w:rPr>
          <w:rFonts w:ascii="Arial" w:eastAsia="Arial Unicode MS" w:hAnsi="Arial" w:cs="Arial"/>
        </w:rPr>
        <w:t>University of Brest</w:t>
      </w:r>
    </w:p>
    <w:p w:rsidR="0002548B" w:rsidRPr="00E55F89" w:rsidRDefault="0002548B" w:rsidP="0002548B">
      <w:pPr>
        <w:ind w:left="2410"/>
        <w:rPr>
          <w:rFonts w:ascii="Arial" w:eastAsia="Arial Unicode MS" w:hAnsi="Arial" w:cs="Arial"/>
        </w:rPr>
      </w:pPr>
      <w:r w:rsidRPr="00E55F89">
        <w:rPr>
          <w:rFonts w:ascii="Arial" w:eastAsia="Arial Unicode MS" w:hAnsi="Arial" w:cs="Arial"/>
        </w:rPr>
        <w:t>Rue Dumont d’Urville</w:t>
      </w:r>
    </w:p>
    <w:p w:rsidR="0002548B" w:rsidRPr="00E55F89" w:rsidRDefault="0002548B" w:rsidP="0002548B">
      <w:pPr>
        <w:ind w:left="2410"/>
        <w:rPr>
          <w:rFonts w:ascii="Arial" w:eastAsia="Arial Unicode MS" w:hAnsi="Arial" w:cs="Arial"/>
        </w:rPr>
      </w:pPr>
      <w:r w:rsidRPr="00E55F89">
        <w:rPr>
          <w:rFonts w:ascii="Arial" w:eastAsia="Arial Unicode MS" w:hAnsi="Arial" w:cs="Arial"/>
        </w:rPr>
        <w:t>29280 Plouzané, France</w:t>
      </w:r>
    </w:p>
    <w:p w:rsidR="0002548B" w:rsidRDefault="0002548B" w:rsidP="0002548B">
      <w:pPr>
        <w:ind w:left="2410"/>
        <w:rPr>
          <w:rFonts w:ascii="Arial" w:eastAsia="Arial Unicode MS" w:hAnsi="Arial" w:cs="Arial"/>
          <w:lang w:val="en-US"/>
        </w:rPr>
      </w:pPr>
      <w:r w:rsidRPr="00E7382A">
        <w:rPr>
          <w:rFonts w:ascii="Arial" w:eastAsia="Arial Unicode MS" w:hAnsi="Arial" w:cs="Arial"/>
          <w:lang w:val="en-US"/>
        </w:rPr>
        <w:t>+</w:t>
      </w:r>
      <w:r>
        <w:rPr>
          <w:rFonts w:ascii="Arial" w:eastAsia="Arial Unicode MS" w:hAnsi="Arial" w:cs="Arial"/>
          <w:lang w:val="en-US"/>
        </w:rPr>
        <w:t>33 2 98 49 86 25</w:t>
      </w:r>
    </w:p>
    <w:p w:rsidR="001E38F3" w:rsidRDefault="00240FB3" w:rsidP="0002548B">
      <w:pPr>
        <w:ind w:left="2410"/>
        <w:rPr>
          <w:rFonts w:ascii="Arial" w:eastAsia="Arial Unicode MS" w:hAnsi="Arial" w:cs="Arial"/>
          <w:lang w:val="en-US"/>
        </w:rPr>
      </w:pPr>
      <w:hyperlink r:id="rId10" w:history="1">
        <w:r w:rsidR="0002548B" w:rsidRPr="00187739">
          <w:rPr>
            <w:rStyle w:val="Lienhypertexte"/>
            <w:rFonts w:ascii="Arial" w:eastAsia="Arial Unicode MS" w:hAnsi="Arial" w:cs="Arial"/>
            <w:lang w:val="en-US"/>
          </w:rPr>
          <w:t>frederic.planchon@univ-brest.fr</w:t>
        </w:r>
      </w:hyperlink>
    </w:p>
    <w:p w:rsidR="0002548B" w:rsidRDefault="0002548B" w:rsidP="0002548B">
      <w:pPr>
        <w:ind w:left="2410" w:hanging="2410"/>
        <w:rPr>
          <w:rFonts w:ascii="Arial" w:eastAsia="Arial Unicode MS" w:hAnsi="Arial" w:cs="Arial"/>
          <w:lang w:val="en-US"/>
        </w:rPr>
      </w:pPr>
    </w:p>
    <w:p w:rsidR="00DD78A1" w:rsidRPr="002F5641" w:rsidRDefault="002F5641" w:rsidP="006B704D">
      <w:pPr>
        <w:pStyle w:val="Titre1"/>
        <w:pageBreakBefore/>
        <w:ind w:left="357" w:hanging="357"/>
        <w:rPr>
          <w:lang w:val="en-US"/>
        </w:rPr>
      </w:pPr>
      <w:r w:rsidRPr="002F5641">
        <w:rPr>
          <w:lang w:val="en-US"/>
        </w:rPr>
        <w:lastRenderedPageBreak/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7D7489" w:rsidRPr="003831ED" w:rsidRDefault="001678F4" w:rsidP="00303CF7">
      <w:pPr>
        <w:pStyle w:val="Paragraphestandard"/>
      </w:pPr>
      <w:r>
        <w:t xml:space="preserve">Particulate samples </w:t>
      </w:r>
      <w:r w:rsidR="007D7489">
        <w:t xml:space="preserve">fractionated according to size </w:t>
      </w:r>
      <w:r>
        <w:t>were collected</w:t>
      </w:r>
      <w:r w:rsidR="007D7489">
        <w:t xml:space="preserve"> using</w:t>
      </w:r>
      <w:r>
        <w:t xml:space="preserve"> </w:t>
      </w:r>
      <w:r w:rsidR="00430C12" w:rsidRPr="00430C12">
        <w:rPr>
          <w:i/>
        </w:rPr>
        <w:t>in situ</w:t>
      </w:r>
      <w:r w:rsidR="00430C12">
        <w:t xml:space="preserve"> pumps (ISP_ISMI casts) at </w:t>
      </w:r>
      <w:r w:rsidR="007D7489">
        <w:t xml:space="preserve">all sampled </w:t>
      </w:r>
      <w:r w:rsidR="00430C12">
        <w:t>stations</w:t>
      </w:r>
      <w:r w:rsidR="00887CC8">
        <w:t xml:space="preserve"> (see Table 1)</w:t>
      </w:r>
      <w:r w:rsidR="008B719F" w:rsidRPr="003831ED">
        <w:t>.</w:t>
      </w:r>
      <w:r w:rsidR="007D7489">
        <w:t xml:space="preserve"> Five ISP were depl</w:t>
      </w:r>
      <w:r w:rsidR="005A2E54">
        <w:t>oyed per cast at variable depths between 20 and 300 m with d</w:t>
      </w:r>
      <w:r w:rsidR="007D7489">
        <w:t xml:space="preserve">ifferent filter configurations </w:t>
      </w:r>
      <w:r w:rsidR="005A2E54">
        <w:t>according to ISP number and targeted par</w:t>
      </w:r>
      <w:r w:rsidR="00666C85">
        <w:t>a</w:t>
      </w:r>
      <w:r w:rsidR="005A2E54">
        <w:t>meters.</w:t>
      </w:r>
      <w:r w:rsidR="0021408A">
        <w:t xml:space="preserve"> Three different filter configuration</w:t>
      </w:r>
      <w:r w:rsidR="00AD4DB0">
        <w:t>s</w:t>
      </w:r>
      <w:r w:rsidR="0021408A">
        <w:t xml:space="preserve"> were used: 1/50/300 µm, 1/20/200 µm, 1/20/50 µm.</w:t>
      </w:r>
      <w:r w:rsidR="00887CC8">
        <w:t xml:space="preserve"> Vertical profiles of </w:t>
      </w:r>
      <w:r w:rsidR="007D6FA3">
        <w:t>total</w:t>
      </w:r>
      <w:r w:rsidR="00887CC8">
        <w:t xml:space="preserve"> </w:t>
      </w:r>
      <w:r w:rsidR="00887CC8" w:rsidRPr="00E427E3">
        <w:rPr>
          <w:vertAlign w:val="superscript"/>
        </w:rPr>
        <w:t>234</w:t>
      </w:r>
      <w:r w:rsidR="00887CC8" w:rsidRPr="00E427E3">
        <w:t>Th</w:t>
      </w:r>
      <w:r w:rsidR="00887CC8">
        <w:t xml:space="preserve"> were also acquired from rosette casts (see Table 2)</w:t>
      </w:r>
    </w:p>
    <w:p w:rsidR="004D1212" w:rsidRDefault="004D1212" w:rsidP="0046671B">
      <w:pPr>
        <w:pStyle w:val="Titre2"/>
      </w:pPr>
      <w:r w:rsidRPr="002F5641">
        <w:t xml:space="preserve">List of </w:t>
      </w:r>
      <w:r w:rsidR="00887CC8">
        <w:t xml:space="preserve">ISP </w:t>
      </w:r>
      <w:r w:rsidRPr="002F5641">
        <w:t>stations sampled</w:t>
      </w:r>
    </w:p>
    <w:p w:rsidR="003831ED" w:rsidRDefault="003831ED" w:rsidP="003831ED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1: </w:t>
      </w:r>
      <w:r>
        <w:rPr>
          <w:b/>
          <w:lang w:val="en-US"/>
        </w:rPr>
        <w:t xml:space="preserve">details of </w:t>
      </w:r>
      <w:r w:rsidR="0021408A">
        <w:rPr>
          <w:b/>
          <w:lang w:val="en-US"/>
        </w:rPr>
        <w:t>ISP casts</w:t>
      </w:r>
    </w:p>
    <w:tbl>
      <w:tblPr>
        <w:tblStyle w:val="TableauListe3-Accentuation5"/>
        <w:tblW w:w="89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00"/>
        <w:gridCol w:w="1200"/>
        <w:gridCol w:w="1418"/>
        <w:gridCol w:w="1200"/>
        <w:gridCol w:w="1356"/>
        <w:gridCol w:w="1044"/>
        <w:gridCol w:w="1560"/>
      </w:tblGrid>
      <w:tr w:rsidR="001B287E" w:rsidRPr="001B287E" w:rsidTr="00646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0" w:type="dxa"/>
            <w:tcBorders>
              <w:bottom w:val="none" w:sz="0" w:space="0" w:color="auto"/>
              <w:right w:val="none" w:sz="0" w:space="0" w:color="auto"/>
            </w:tcBorders>
            <w:shd w:val="clear" w:color="auto" w:fill="4F81BD"/>
            <w:noWrap/>
            <w:vAlign w:val="center"/>
            <w:hideMark/>
          </w:tcPr>
          <w:p w:rsidR="00753231" w:rsidRPr="001B287E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lang w:val="en-US"/>
              </w:rPr>
              <w:t>Station</w:t>
            </w:r>
          </w:p>
        </w:tc>
        <w:tc>
          <w:tcPr>
            <w:tcW w:w="1200" w:type="dxa"/>
            <w:shd w:val="clear" w:color="auto" w:fill="4F81BD"/>
            <w:vAlign w:val="center"/>
            <w:hideMark/>
          </w:tcPr>
          <w:p w:rsidR="00753231" w:rsidRPr="001B287E" w:rsidRDefault="00753231" w:rsidP="00703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lang w:val="en-US"/>
              </w:rPr>
              <w:t>Cast</w:t>
            </w:r>
          </w:p>
        </w:tc>
        <w:tc>
          <w:tcPr>
            <w:tcW w:w="1418" w:type="dxa"/>
            <w:shd w:val="clear" w:color="auto" w:fill="4F81BD"/>
            <w:noWrap/>
            <w:vAlign w:val="center"/>
            <w:hideMark/>
          </w:tcPr>
          <w:p w:rsidR="00753231" w:rsidRPr="001B287E" w:rsidRDefault="00753231" w:rsidP="00703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1B287E">
              <w:rPr>
                <w:rFonts w:eastAsia="Times New Roman" w:cs="Times New Roman"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200" w:type="dxa"/>
            <w:shd w:val="clear" w:color="auto" w:fill="4F81BD"/>
            <w:vAlign w:val="center"/>
            <w:hideMark/>
          </w:tcPr>
          <w:p w:rsidR="00753231" w:rsidRPr="001B287E" w:rsidRDefault="00753231" w:rsidP="007037DE">
            <w:pPr>
              <w:ind w:right="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lang w:val="en-US"/>
              </w:rPr>
              <w:t>depth</w:t>
            </w:r>
          </w:p>
        </w:tc>
        <w:tc>
          <w:tcPr>
            <w:tcW w:w="1356" w:type="dxa"/>
            <w:shd w:val="clear" w:color="auto" w:fill="4F81BD"/>
            <w:vAlign w:val="center"/>
            <w:hideMark/>
          </w:tcPr>
          <w:p w:rsidR="00753231" w:rsidRPr="001B287E" w:rsidRDefault="00753231" w:rsidP="00703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lang w:val="en-US"/>
              </w:rPr>
              <w:t>ISP #</w:t>
            </w:r>
          </w:p>
        </w:tc>
        <w:tc>
          <w:tcPr>
            <w:tcW w:w="1044" w:type="dxa"/>
            <w:shd w:val="clear" w:color="auto" w:fill="4F81BD"/>
            <w:vAlign w:val="center"/>
            <w:hideMark/>
          </w:tcPr>
          <w:p w:rsidR="00753231" w:rsidRPr="001B287E" w:rsidRDefault="001B287E" w:rsidP="00703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F</w:t>
            </w:r>
            <w:r w:rsidRPr="001B287E">
              <w:rPr>
                <w:rFonts w:ascii="Calibri" w:eastAsia="Times New Roman" w:hAnsi="Calibri" w:cs="Times New Roman"/>
                <w:lang w:val="en-US"/>
              </w:rPr>
              <w:t xml:space="preserve">iltered </w:t>
            </w:r>
            <w:r>
              <w:rPr>
                <w:rFonts w:ascii="Calibri" w:eastAsia="Times New Roman" w:hAnsi="Calibri" w:cs="Times New Roman"/>
                <w:lang w:val="en-US"/>
              </w:rPr>
              <w:t>volume</w:t>
            </w:r>
          </w:p>
        </w:tc>
        <w:tc>
          <w:tcPr>
            <w:tcW w:w="1560" w:type="dxa"/>
            <w:shd w:val="clear" w:color="auto" w:fill="4F81BD"/>
            <w:vAlign w:val="center"/>
            <w:hideMark/>
          </w:tcPr>
          <w:p w:rsidR="00753231" w:rsidRPr="001B287E" w:rsidRDefault="00753231" w:rsidP="00703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lang w:val="en-US"/>
              </w:rPr>
              <w:t>Filter</w:t>
            </w:r>
          </w:p>
          <w:p w:rsidR="00753231" w:rsidRPr="001B287E" w:rsidRDefault="00753231" w:rsidP="00703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lang w:val="en-US"/>
              </w:rPr>
              <w:t>configuration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M2-1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ISP001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Times New Roman"/>
                <w:sz w:val="22"/>
                <w:szCs w:val="22"/>
                <w:lang w:val="en-US"/>
              </w:rPr>
              <w:t>27/02/2018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310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PIS008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>,</w:t>
            </w: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033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M2-1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ISP001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Times New Roman"/>
                <w:sz w:val="22"/>
                <w:szCs w:val="22"/>
                <w:lang w:val="en-US"/>
              </w:rPr>
              <w:t>27/02/2018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210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PIS009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873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M2-1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ISP001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Times New Roman"/>
                <w:sz w:val="22"/>
                <w:szCs w:val="22"/>
                <w:lang w:val="en-US"/>
              </w:rPr>
              <w:t>27/02/2018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130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PIS010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688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M2-1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ISP001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Times New Roman"/>
                <w:sz w:val="22"/>
                <w:szCs w:val="22"/>
                <w:lang w:val="en-US"/>
              </w:rPr>
              <w:t>27/02/2018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80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PIS012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237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M2-1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ISP001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Times New Roman"/>
                <w:sz w:val="22"/>
                <w:szCs w:val="22"/>
                <w:lang w:val="en-US"/>
              </w:rPr>
              <w:t>27/02/2018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PIS011 (A)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1/20/200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M2-1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ISP001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Times New Roman"/>
                <w:sz w:val="22"/>
                <w:szCs w:val="22"/>
                <w:lang w:val="en-US"/>
              </w:rPr>
              <w:t>27/02/2018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PIS011 (C)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M4-1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03/03/2018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595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PIS012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>,</w:t>
            </w: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414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M4-1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ISP002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03/03/2018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420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PIS009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>,</w:t>
            </w: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351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M4-1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03/03/2018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129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PIS010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613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M4-1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ISP002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03/03/2018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PIS008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316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M4-1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03/03/2018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PIS011 (A)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365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1/20/200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M4-1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ISP002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03/03/2018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PIS011 (C)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374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05/03/2018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PIS012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>,</w:t>
            </w: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150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M3-1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ISP003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05/03/2018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200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PIS009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967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05/03/2018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PIS010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>,</w:t>
            </w: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054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M3-1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ISP003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05/03/2018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60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PIS008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417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05/03/2018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PIS011 (A)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457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1/20/200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M3-1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ISP003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05/03/2018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PIS011 (C)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472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ISP004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07/03/2018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200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PIS012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923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M2-2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ISP004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07/03/2018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150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PIS009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688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ISP004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07/03/2018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PIS010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>,</w:t>
            </w: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079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M2-2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ISP004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07/03/2018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60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PIS008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658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ISP004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07/03/2018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PIS011 (A)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325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1/20/200 µm</w:t>
            </w:r>
          </w:p>
        </w:tc>
      </w:tr>
      <w:tr w:rsidR="00753231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M2-2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ISP004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21408A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07/03/2018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PIS011 (C)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343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70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</w:tbl>
    <w:p w:rsidR="00AE1FDF" w:rsidRDefault="00AE1FDF" w:rsidP="00AE1FDF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1: </w:t>
      </w:r>
      <w:r>
        <w:rPr>
          <w:b/>
          <w:lang w:val="en-US"/>
        </w:rPr>
        <w:t>details of ISP casts (cont'd)</w:t>
      </w:r>
    </w:p>
    <w:tbl>
      <w:tblPr>
        <w:tblStyle w:val="TableauListe3-Accentuation5"/>
        <w:tblW w:w="89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00"/>
        <w:gridCol w:w="1200"/>
        <w:gridCol w:w="1418"/>
        <w:gridCol w:w="1200"/>
        <w:gridCol w:w="1356"/>
        <w:gridCol w:w="1044"/>
        <w:gridCol w:w="1560"/>
      </w:tblGrid>
      <w:tr w:rsidR="007037DE" w:rsidRPr="00753231" w:rsidTr="00646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0" w:type="dxa"/>
            <w:tcBorders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M1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037DE" w:rsidRPr="007037DE" w:rsidRDefault="007037DE" w:rsidP="00636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 w:themeColor="text1"/>
                <w:lang w:val="en-US"/>
              </w:rPr>
            </w:pPr>
            <w:r w:rsidRPr="007037DE">
              <w:rPr>
                <w:rFonts w:ascii="Calibri" w:eastAsia="Times New Roman" w:hAnsi="Calibri" w:cs="Times New Roman"/>
                <w:b w:val="0"/>
                <w:color w:val="000000" w:themeColor="text1"/>
                <w:lang w:val="en-US"/>
              </w:rPr>
              <w:t>ISP005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037DE" w:rsidRPr="007037DE" w:rsidRDefault="007037DE" w:rsidP="00636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 w:themeColor="text1"/>
                <w:sz w:val="22"/>
                <w:szCs w:val="22"/>
                <w:lang w:val="en-US"/>
              </w:rPr>
            </w:pPr>
            <w:r w:rsidRPr="007037DE">
              <w:rPr>
                <w:rFonts w:eastAsia="Times New Roman" w:cs="Arial"/>
                <w:b w:val="0"/>
                <w:color w:val="000000" w:themeColor="text1"/>
                <w:sz w:val="22"/>
                <w:szCs w:val="22"/>
                <w:lang w:val="en-US"/>
              </w:rPr>
              <w:t>09/03/2018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037DE" w:rsidRPr="007037DE" w:rsidRDefault="007037DE" w:rsidP="006367C3">
            <w:pPr>
              <w:ind w:right="9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 w:themeColor="text1"/>
                <w:lang w:val="en-US"/>
              </w:rPr>
            </w:pPr>
            <w:r w:rsidRPr="007037DE">
              <w:rPr>
                <w:rFonts w:ascii="Calibri" w:eastAsia="Times New Roman" w:hAnsi="Calibri" w:cs="Times New Roman"/>
                <w:b w:val="0"/>
                <w:color w:val="000000" w:themeColor="text1"/>
                <w:lang w:val="en-US"/>
              </w:rPr>
              <w:t>200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037DE" w:rsidRPr="007037DE" w:rsidRDefault="007037DE" w:rsidP="00636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 w:themeColor="text1"/>
                <w:lang w:val="en-US"/>
              </w:rPr>
            </w:pPr>
            <w:r w:rsidRPr="007037DE">
              <w:rPr>
                <w:rFonts w:ascii="Calibri" w:eastAsia="Times New Roman" w:hAnsi="Calibri" w:cs="Times New Roman"/>
                <w:b w:val="0"/>
                <w:color w:val="000000" w:themeColor="text1"/>
                <w:lang w:val="en-US"/>
              </w:rPr>
              <w:t>PIS012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037DE" w:rsidRPr="007037DE" w:rsidRDefault="007037DE" w:rsidP="006367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 w:themeColor="text1"/>
                <w:lang w:val="en-US"/>
              </w:rPr>
            </w:pPr>
            <w:r w:rsidRPr="007037DE">
              <w:rPr>
                <w:rFonts w:ascii="Calibri" w:eastAsia="Times New Roman" w:hAnsi="Calibri" w:cs="Times New Roman"/>
                <w:b w:val="0"/>
                <w:color w:val="000000" w:themeColor="text1"/>
                <w:lang w:val="en-US"/>
              </w:rPr>
              <w:t>800 L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037DE" w:rsidRPr="007037DE" w:rsidRDefault="007037DE" w:rsidP="00636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 w:themeColor="text1"/>
                <w:sz w:val="22"/>
                <w:szCs w:val="22"/>
                <w:lang w:val="en-US"/>
              </w:rPr>
            </w:pPr>
            <w:r w:rsidRPr="007037DE">
              <w:rPr>
                <w:rFonts w:ascii="Calibri" w:eastAsia="Times New Roman" w:hAnsi="Calibri" w:cs="Times New Roman"/>
                <w:b w:val="0"/>
                <w:color w:val="000000" w:themeColor="text1"/>
                <w:sz w:val="22"/>
                <w:szCs w:val="22"/>
                <w:lang w:val="en-US"/>
              </w:rPr>
              <w:t>1/50/300 µm</w:t>
            </w:r>
          </w:p>
        </w:tc>
      </w:tr>
      <w:tr w:rsidR="007037DE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ISP005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21408A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09/03/2018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PIS009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786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037DE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M1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ISP005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037DE" w:rsidRPr="0021408A" w:rsidRDefault="007037DE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09/03/2018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PIS010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914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037DE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ISP005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21408A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09/03/2018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PIS008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037DE" w:rsidRPr="00753231" w:rsidTr="006460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M1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ISP005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037DE" w:rsidRPr="0021408A" w:rsidRDefault="007037DE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09/03/2018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PIS011 (A)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286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1/20/200 µm</w:t>
            </w:r>
          </w:p>
        </w:tc>
      </w:tr>
      <w:tr w:rsidR="007037DE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ISP005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21408A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09/03/2018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PIS011 (C)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293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037DE" w:rsidRPr="00753231" w:rsidRDefault="007037DE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1B287E" w:rsidRPr="001B287E" w:rsidTr="00646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 w:themeColor="text1"/>
                <w:lang w:val="en-US"/>
              </w:rPr>
              <w:t>M4-2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037DE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lang w:val="en-US"/>
              </w:rPr>
            </w:pPr>
            <w:r w:rsidRPr="007037DE">
              <w:rPr>
                <w:rFonts w:ascii="Calibri" w:eastAsia="Times New Roman" w:hAnsi="Calibri" w:cs="Times New Roman"/>
                <w:color w:val="000000" w:themeColor="text1"/>
                <w:lang w:val="en-US"/>
              </w:rPr>
              <w:t>ISP006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7037DE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2"/>
                <w:szCs w:val="22"/>
                <w:lang w:val="en-US"/>
              </w:rPr>
            </w:pPr>
            <w:r w:rsidRPr="007037DE">
              <w:rPr>
                <w:rFonts w:eastAsia="Times New Roman" w:cs="Arial"/>
                <w:color w:val="000000" w:themeColor="text1"/>
                <w:sz w:val="22"/>
                <w:szCs w:val="22"/>
                <w:lang w:val="en-US"/>
              </w:rPr>
              <w:t>13/03/2018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037DE" w:rsidRDefault="00753231" w:rsidP="006367C3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/>
              </w:rPr>
            </w:pPr>
            <w:r w:rsidRPr="007037D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/>
              </w:rPr>
              <w:t>300</w:t>
            </w:r>
            <w:r w:rsidR="001B287E" w:rsidRPr="007037DE">
              <w:rPr>
                <w:rFonts w:ascii="Calibri" w:eastAsia="Times New Roman" w:hAnsi="Calibri" w:cs="Times New Roman"/>
                <w:color w:val="000000" w:themeColor="text1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037DE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/>
              </w:rPr>
            </w:pPr>
            <w:r w:rsidRPr="007037D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/>
              </w:rPr>
              <w:t>PIS008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7037DE" w:rsidRDefault="00753231" w:rsidP="0063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/>
              </w:rPr>
            </w:pPr>
            <w:r w:rsidRPr="007037D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="001B287E" w:rsidRPr="007037D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037DE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/>
              </w:rPr>
            </w:pPr>
            <w:r w:rsidRPr="007037D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M4-2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ISP006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13/03/2018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PIS009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924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M4-2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ISP006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13/03/2018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PIS010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956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M4-2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ISP006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13/03/2018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PIS012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285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M4-2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ISP006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13/03/2018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PIS011 (A)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943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1/20/200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M4-2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ISP006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13/03/2018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PIS011 (C)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515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M2-3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ISP007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16/03/2018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PIS007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253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ISP007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16/03/2018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150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PIS009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932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M2-3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ISP007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16/03/2018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PIS010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656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ISP007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16/03/2018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PIS012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258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M2-3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ISP007</w:t>
            </w:r>
          </w:p>
        </w:tc>
        <w:tc>
          <w:tcPr>
            <w:tcW w:w="1418" w:type="dxa"/>
            <w:shd w:val="clear" w:color="auto" w:fill="CED7E7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16/03/2018</w:t>
            </w:r>
          </w:p>
        </w:tc>
        <w:tc>
          <w:tcPr>
            <w:tcW w:w="120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PIS011 (A)</w:t>
            </w:r>
          </w:p>
        </w:tc>
        <w:tc>
          <w:tcPr>
            <w:tcW w:w="1044" w:type="dxa"/>
            <w:shd w:val="clear" w:color="auto" w:fill="CED7E7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351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1/20/200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M2-3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ISP007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16/03/2018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PIS011 (C)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611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CED7E7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1/50/300 µm</w:t>
            </w:r>
          </w:p>
        </w:tc>
      </w:tr>
      <w:tr w:rsidR="00753231" w:rsidRPr="00753231" w:rsidTr="00646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M3-3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ISP008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18/03/2018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PIS007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168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1/20/50 µm</w:t>
            </w:r>
          </w:p>
        </w:tc>
        <w:bookmarkStart w:id="0" w:name="_GoBack"/>
        <w:bookmarkEnd w:id="0"/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ISP008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18/03/2018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PIS009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940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1/20/50 µm</w:t>
            </w:r>
          </w:p>
        </w:tc>
      </w:tr>
      <w:tr w:rsidR="00753231" w:rsidRPr="00753231" w:rsidTr="00646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M3-3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ISP008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18/03/2018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100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PIS010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954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1/20/50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ISP008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18/03/2018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PIS012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567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1/20/50 µm</w:t>
            </w:r>
          </w:p>
        </w:tc>
      </w:tr>
      <w:tr w:rsidR="00753231" w:rsidRPr="00753231" w:rsidTr="00646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M3-3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ISP008</w:t>
            </w:r>
          </w:p>
        </w:tc>
        <w:tc>
          <w:tcPr>
            <w:tcW w:w="1418" w:type="dxa"/>
            <w:shd w:val="clear" w:color="auto" w:fill="E8ECF3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18/03/2018</w:t>
            </w:r>
          </w:p>
        </w:tc>
        <w:tc>
          <w:tcPr>
            <w:tcW w:w="120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PIS011 (A)</w:t>
            </w:r>
          </w:p>
        </w:tc>
        <w:tc>
          <w:tcPr>
            <w:tcW w:w="1044" w:type="dxa"/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584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1/20/200 µm</w:t>
            </w:r>
          </w:p>
        </w:tc>
      </w:tr>
      <w:tr w:rsidR="00753231" w:rsidRPr="00753231" w:rsidTr="0064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lang w:val="en-US"/>
              </w:rPr>
              <w:t>M3-3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lang w:val="en-US"/>
              </w:rPr>
              <w:t>ISP008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21408A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21408A">
              <w:rPr>
                <w:rFonts w:eastAsia="Times New Roman" w:cs="Arial"/>
                <w:sz w:val="22"/>
                <w:szCs w:val="22"/>
                <w:lang w:val="en-US"/>
              </w:rPr>
              <w:t>18/03/2018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30</w:t>
            </w:r>
            <w:r w:rsid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</w:t>
            </w:r>
          </w:p>
        </w:tc>
        <w:tc>
          <w:tcPr>
            <w:tcW w:w="1356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PIS011 (C)</w:t>
            </w:r>
          </w:p>
        </w:tc>
        <w:tc>
          <w:tcPr>
            <w:tcW w:w="1044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1B287E" w:rsidRDefault="00753231" w:rsidP="00636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B28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846</w:t>
            </w:r>
            <w:r w:rsidR="001B287E" w:rsidRPr="001B287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E8ECF3"/>
            <w:noWrap/>
            <w:vAlign w:val="center"/>
            <w:hideMark/>
          </w:tcPr>
          <w:p w:rsidR="00753231" w:rsidRPr="00753231" w:rsidRDefault="00753231" w:rsidP="0063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5323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1/20/50 µm</w:t>
            </w:r>
          </w:p>
        </w:tc>
      </w:tr>
    </w:tbl>
    <w:p w:rsidR="00887CC8" w:rsidRDefault="00887CC8" w:rsidP="00887CC8">
      <w:pPr>
        <w:pStyle w:val="Titre2"/>
        <w:numPr>
          <w:ilvl w:val="1"/>
          <w:numId w:val="28"/>
        </w:numPr>
      </w:pPr>
      <w:r w:rsidRPr="002F5641">
        <w:t xml:space="preserve">List of </w:t>
      </w:r>
      <w:r>
        <w:t xml:space="preserve">rosette </w:t>
      </w:r>
      <w:r w:rsidRPr="002F5641">
        <w:t>stations sampled</w:t>
      </w:r>
    </w:p>
    <w:p w:rsidR="00887CC8" w:rsidRPr="00EC4908" w:rsidRDefault="00887CC8" w:rsidP="00887CC8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</w:t>
      </w:r>
      <w:r>
        <w:rPr>
          <w:b/>
          <w:lang w:val="en-US"/>
        </w:rPr>
        <w:t>2</w:t>
      </w:r>
      <w:r w:rsidRPr="00EC4908">
        <w:rPr>
          <w:b/>
          <w:lang w:val="en-US"/>
        </w:rPr>
        <w:t xml:space="preserve"> : </w:t>
      </w:r>
      <w:r>
        <w:rPr>
          <w:b/>
          <w:lang w:val="en-US"/>
        </w:rPr>
        <w:t xml:space="preserve">details of rosette casts for </w:t>
      </w:r>
      <w:r w:rsidR="007D6FA3">
        <w:rPr>
          <w:b/>
          <w:lang w:val="en-US"/>
        </w:rPr>
        <w:t>total (</w:t>
      </w:r>
      <w:r>
        <w:rPr>
          <w:b/>
          <w:lang w:val="en-US"/>
        </w:rPr>
        <w:t>dissolved</w:t>
      </w:r>
      <w:r w:rsidR="007D6FA3">
        <w:rPr>
          <w:b/>
          <w:lang w:val="en-US"/>
        </w:rPr>
        <w:t>+particulate)</w:t>
      </w:r>
      <w:r>
        <w:rPr>
          <w:b/>
          <w:lang w:val="en-US"/>
        </w:rPr>
        <w:t xml:space="preserve"> </w:t>
      </w:r>
      <w:r w:rsidRPr="00887CC8">
        <w:rPr>
          <w:b/>
          <w:vertAlign w:val="superscript"/>
          <w:lang w:val="en-US"/>
        </w:rPr>
        <w:t>234</w:t>
      </w:r>
      <w:r w:rsidRPr="00887CC8">
        <w:rPr>
          <w:b/>
          <w:lang w:val="en-US"/>
        </w:rPr>
        <w:t>Th</w:t>
      </w:r>
    </w:p>
    <w:tbl>
      <w:tblPr>
        <w:tblW w:w="7371" w:type="dxa"/>
        <w:jc w:val="center"/>
        <w:tblBorders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320"/>
        <w:gridCol w:w="1657"/>
        <w:gridCol w:w="1377"/>
        <w:gridCol w:w="3017"/>
      </w:tblGrid>
      <w:tr w:rsidR="00887CC8" w:rsidTr="00887CC8">
        <w:trPr>
          <w:trHeight w:val="567"/>
          <w:jc w:val="center"/>
        </w:trPr>
        <w:tc>
          <w:tcPr>
            <w:tcW w:w="1320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Default="00887CC8" w:rsidP="005E71B5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Station ID</w:t>
            </w:r>
          </w:p>
        </w:tc>
        <w:tc>
          <w:tcPr>
            <w:tcW w:w="1657" w:type="dxa"/>
            <w:tcBorders>
              <w:bottom w:val="single" w:sz="8" w:space="0" w:color="FFFFFF"/>
            </w:tcBorders>
            <w:shd w:val="clear" w:color="auto" w:fill="4F81BD"/>
            <w:vAlign w:val="center"/>
          </w:tcPr>
          <w:p w:rsidR="00887CC8" w:rsidRDefault="00887CC8" w:rsidP="005E71B5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Type of operation</w:t>
            </w:r>
          </w:p>
        </w:tc>
        <w:tc>
          <w:tcPr>
            <w:tcW w:w="1377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Default="00887CC8" w:rsidP="005E71B5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Cast ID</w:t>
            </w:r>
          </w:p>
        </w:tc>
        <w:tc>
          <w:tcPr>
            <w:tcW w:w="3017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Default="00887CC8" w:rsidP="005E71B5">
            <w:pPr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# of depths</w:t>
            </w:r>
          </w:p>
        </w:tc>
      </w:tr>
      <w:tr w:rsidR="00887CC8" w:rsidRPr="001B2BBC" w:rsidTr="00887CC8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jc w:val="center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M2_1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CED7E7"/>
            <w:vAlign w:val="center"/>
          </w:tcPr>
          <w:p w:rsidR="00887CC8" w:rsidRPr="001B2BBC" w:rsidRDefault="002B29BD" w:rsidP="005E71B5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2B29BD">
              <w:rPr>
                <w:rFonts w:ascii="Calibri" w:eastAsia="Arial Unicode MS" w:hAnsi="Calibri" w:cs="Arial Unicode MS"/>
                <w:sz w:val="20"/>
                <w:szCs w:val="20"/>
              </w:rPr>
              <w:t>CTD_OMICS_P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</w:t>
            </w:r>
          </w:p>
        </w:tc>
        <w:tc>
          <w:tcPr>
            <w:tcW w:w="3017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depths (10 to 500 m)</w:t>
            </w:r>
          </w:p>
        </w:tc>
      </w:tr>
      <w:tr w:rsidR="00887CC8" w:rsidRPr="001B2BBC" w:rsidTr="00887CC8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Default="00887CC8" w:rsidP="005E71B5">
            <w:pPr>
              <w:jc w:val="center"/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M4_1</w:t>
            </w:r>
          </w:p>
        </w:tc>
        <w:tc>
          <w:tcPr>
            <w:tcW w:w="165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8ECF3"/>
            <w:vAlign w:val="center"/>
          </w:tcPr>
          <w:p w:rsidR="00887CC8" w:rsidRPr="001B2BBC" w:rsidRDefault="002B29BD" w:rsidP="005E71B5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2B29BD">
              <w:rPr>
                <w:rFonts w:ascii="Calibri" w:eastAsia="Arial Unicode MS" w:hAnsi="Calibri" w:cs="Arial Unicode MS"/>
                <w:sz w:val="20"/>
                <w:szCs w:val="20"/>
              </w:rPr>
              <w:t>CTD_OMICS_P</w:t>
            </w:r>
          </w:p>
        </w:tc>
        <w:tc>
          <w:tcPr>
            <w:tcW w:w="137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16</w:t>
            </w:r>
          </w:p>
        </w:tc>
        <w:tc>
          <w:tcPr>
            <w:tcW w:w="301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depths (10 to 800 m)</w:t>
            </w:r>
          </w:p>
        </w:tc>
      </w:tr>
      <w:tr w:rsidR="00887CC8" w:rsidRPr="001B2BBC" w:rsidTr="00887CC8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Default="00887CC8" w:rsidP="005E71B5">
            <w:pPr>
              <w:jc w:val="center"/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M3</w:t>
            </w:r>
          </w:p>
        </w:tc>
        <w:tc>
          <w:tcPr>
            <w:tcW w:w="1657" w:type="dxa"/>
            <w:shd w:val="clear" w:color="auto" w:fill="CED7E7"/>
            <w:vAlign w:val="center"/>
          </w:tcPr>
          <w:p w:rsidR="00887CC8" w:rsidRPr="001B2BBC" w:rsidRDefault="002B29BD" w:rsidP="005E71B5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2B29BD">
              <w:rPr>
                <w:rFonts w:ascii="Calibri" w:eastAsia="Arial Unicode MS" w:hAnsi="Calibri" w:cs="Arial Unicode MS"/>
                <w:sz w:val="20"/>
                <w:szCs w:val="20"/>
              </w:rPr>
              <w:t>CTD_OMICS_P</w:t>
            </w:r>
          </w:p>
        </w:tc>
        <w:tc>
          <w:tcPr>
            <w:tcW w:w="1377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20</w:t>
            </w:r>
          </w:p>
        </w:tc>
        <w:tc>
          <w:tcPr>
            <w:tcW w:w="3017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depths (10 to 800 m)</w:t>
            </w:r>
          </w:p>
        </w:tc>
      </w:tr>
      <w:tr w:rsidR="00887CC8" w:rsidRPr="001B2BBC" w:rsidTr="00887CC8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Default="00887CC8" w:rsidP="005E71B5">
            <w:pPr>
              <w:jc w:val="center"/>
            </w:pPr>
            <w:r>
              <w:rPr>
                <w:rFonts w:ascii="Calibri" w:eastAsia="Arial Unicode MS" w:hAnsi="Calibri" w:cs="Arial Unicode MS"/>
                <w:sz w:val="20"/>
                <w:szCs w:val="20"/>
              </w:rPr>
              <w:t>M2_2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887CC8" w:rsidRPr="001B2BBC" w:rsidRDefault="002B29BD" w:rsidP="005E71B5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2B29BD">
              <w:rPr>
                <w:rFonts w:ascii="Calibri" w:eastAsia="Arial Unicode MS" w:hAnsi="Calibri" w:cs="Arial Unicode MS"/>
                <w:sz w:val="20"/>
                <w:szCs w:val="20"/>
              </w:rPr>
              <w:t>CTD_OMICS_P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34</w:t>
            </w:r>
          </w:p>
        </w:tc>
        <w:tc>
          <w:tcPr>
            <w:tcW w:w="301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depths (10 to 500 m)</w:t>
            </w:r>
          </w:p>
        </w:tc>
      </w:tr>
      <w:tr w:rsidR="00887CC8" w:rsidRPr="001B2BBC" w:rsidTr="005E71B5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sz w:val="20"/>
                <w:szCs w:val="20"/>
              </w:rPr>
              <w:t>M1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CED7E7"/>
            <w:vAlign w:val="center"/>
          </w:tcPr>
          <w:p w:rsidR="00887CC8" w:rsidRPr="001B2BBC" w:rsidRDefault="002B29BD" w:rsidP="005E71B5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2B29BD">
              <w:rPr>
                <w:rFonts w:ascii="Calibri" w:eastAsia="Arial Unicode MS" w:hAnsi="Calibri" w:cs="Arial Unicode MS"/>
                <w:sz w:val="20"/>
                <w:szCs w:val="20"/>
              </w:rPr>
              <w:t>CTD-eDNA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39</w:t>
            </w:r>
          </w:p>
        </w:tc>
        <w:tc>
          <w:tcPr>
            <w:tcW w:w="3017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Default="00887CC8" w:rsidP="005E71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depths (100 to 800 m)</w:t>
            </w:r>
          </w:p>
        </w:tc>
      </w:tr>
      <w:tr w:rsidR="00887CC8" w:rsidRPr="001B2BBC" w:rsidTr="00887CC8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jc w:val="center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M1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CED7E7"/>
            <w:vAlign w:val="center"/>
          </w:tcPr>
          <w:p w:rsidR="00887CC8" w:rsidRPr="001B2BBC" w:rsidRDefault="002B29BD" w:rsidP="005E71B5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2B29BD">
              <w:rPr>
                <w:rFonts w:ascii="Calibri" w:eastAsia="Arial Unicode MS" w:hAnsi="Calibri" w:cs="Arial Unicode MS"/>
                <w:sz w:val="20"/>
                <w:szCs w:val="20"/>
              </w:rPr>
              <w:t>CTD-NCP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40</w:t>
            </w:r>
          </w:p>
        </w:tc>
        <w:tc>
          <w:tcPr>
            <w:tcW w:w="3017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5E71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depths (30 to 80 m)</w:t>
            </w:r>
          </w:p>
        </w:tc>
      </w:tr>
      <w:tr w:rsidR="00887CC8" w:rsidRPr="001B2BBC" w:rsidTr="00887CC8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Default="00887CC8" w:rsidP="00887CC8">
            <w:pPr>
              <w:jc w:val="center"/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M4_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887CC8" w:rsidRPr="001B2BBC" w:rsidRDefault="002B29BD" w:rsidP="00887CC8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2B29BD">
              <w:rPr>
                <w:rFonts w:ascii="Calibri" w:eastAsia="Arial Unicode MS" w:hAnsi="Calibri" w:cs="Arial Unicode MS"/>
                <w:sz w:val="20"/>
                <w:szCs w:val="20"/>
              </w:rPr>
              <w:t>CTD_OMICS_P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887CC8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48</w:t>
            </w:r>
          </w:p>
        </w:tc>
        <w:tc>
          <w:tcPr>
            <w:tcW w:w="301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887CC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depths (10 to 800 m)</w:t>
            </w:r>
          </w:p>
        </w:tc>
      </w:tr>
      <w:tr w:rsidR="00887CC8" w:rsidRPr="001B2BBC" w:rsidTr="00887CC8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Default="00887CC8" w:rsidP="00887CC8">
            <w:pPr>
              <w:jc w:val="center"/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2_</w:t>
            </w: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3</w:t>
            </w:r>
          </w:p>
        </w:tc>
        <w:tc>
          <w:tcPr>
            <w:tcW w:w="1657" w:type="dxa"/>
            <w:shd w:val="clear" w:color="auto" w:fill="CED7E7"/>
            <w:vAlign w:val="center"/>
          </w:tcPr>
          <w:p w:rsidR="00887CC8" w:rsidRPr="001B2BBC" w:rsidRDefault="002B29BD" w:rsidP="00887CC8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2B29BD">
              <w:rPr>
                <w:rFonts w:ascii="Calibri" w:eastAsia="Arial Unicode MS" w:hAnsi="Calibri" w:cs="Arial Unicode MS"/>
                <w:sz w:val="20"/>
                <w:szCs w:val="20"/>
              </w:rPr>
              <w:t>CTD_OMICS_P</w:t>
            </w:r>
          </w:p>
        </w:tc>
        <w:tc>
          <w:tcPr>
            <w:tcW w:w="1377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887CC8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55</w:t>
            </w:r>
          </w:p>
        </w:tc>
        <w:tc>
          <w:tcPr>
            <w:tcW w:w="3017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887CC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depths (10 to 500 m)</w:t>
            </w:r>
          </w:p>
        </w:tc>
      </w:tr>
      <w:tr w:rsidR="00887CC8" w:rsidRPr="001B2BBC" w:rsidTr="00887CC8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Default="00887CC8" w:rsidP="00887CC8">
            <w:pPr>
              <w:jc w:val="center"/>
            </w:pPr>
            <w:r>
              <w:rPr>
                <w:rFonts w:ascii="Calibri" w:eastAsia="Arial Unicode MS" w:hAnsi="Calibri" w:cs="Arial Unicode MS"/>
                <w:sz w:val="20"/>
                <w:szCs w:val="20"/>
              </w:rPr>
              <w:t>M3_3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887CC8" w:rsidRPr="001B2BBC" w:rsidRDefault="002B29BD" w:rsidP="00887CC8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2B29BD">
              <w:rPr>
                <w:rFonts w:ascii="Calibri" w:eastAsia="Arial Unicode MS" w:hAnsi="Calibri" w:cs="Arial Unicode MS"/>
                <w:sz w:val="20"/>
                <w:szCs w:val="20"/>
              </w:rPr>
              <w:t>CTD_OMICS_P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887CC8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62</w:t>
            </w:r>
          </w:p>
        </w:tc>
        <w:tc>
          <w:tcPr>
            <w:tcW w:w="301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7CC8" w:rsidRPr="001B2BBC" w:rsidRDefault="00887CC8" w:rsidP="00887CC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depths (10 to 800 m)</w:t>
            </w:r>
          </w:p>
        </w:tc>
      </w:tr>
    </w:tbl>
    <w:p w:rsidR="00CE2744" w:rsidRPr="00D45FB3" w:rsidRDefault="0035228D" w:rsidP="00D0498F">
      <w:pPr>
        <w:pStyle w:val="Titre1"/>
        <w:rPr>
          <w:lang w:val="en-US"/>
        </w:rPr>
      </w:pPr>
      <w:r w:rsidRPr="00D45FB3">
        <w:rPr>
          <w:lang w:val="en-US"/>
        </w:rPr>
        <w:lastRenderedPageBreak/>
        <w:t>INSTRUMENTS</w:t>
      </w:r>
    </w:p>
    <w:p w:rsidR="004F1081" w:rsidRPr="00EA3239" w:rsidRDefault="004F1081" w:rsidP="00B0111D">
      <w:pPr>
        <w:pStyle w:val="Paragraphestandard"/>
        <w:tabs>
          <w:tab w:val="left" w:pos="2410"/>
        </w:tabs>
        <w:rPr>
          <w:color w:val="FF0000"/>
        </w:rPr>
      </w:pPr>
      <w:r w:rsidRPr="00FE202C">
        <w:t>Instrument Type:</w:t>
      </w:r>
      <w:r w:rsidR="00805582" w:rsidRPr="00FE202C">
        <w:tab/>
      </w:r>
      <w:r w:rsidR="00EA3239" w:rsidRPr="00A963F4">
        <w:rPr>
          <w:b/>
          <w:color w:val="000000" w:themeColor="text1"/>
        </w:rPr>
        <w:t>In Situ Pump</w:t>
      </w:r>
    </w:p>
    <w:p w:rsidR="004F1081" w:rsidRPr="00EA3239" w:rsidRDefault="004F1081" w:rsidP="00B0111D">
      <w:pPr>
        <w:pStyle w:val="Paragraphestandard"/>
        <w:tabs>
          <w:tab w:val="left" w:pos="2410"/>
        </w:tabs>
        <w:spacing w:before="0"/>
        <w:rPr>
          <w:color w:val="FF0000"/>
        </w:rPr>
      </w:pPr>
      <w:r w:rsidRPr="00FE202C">
        <w:t>Manufacturer:</w:t>
      </w:r>
      <w:r w:rsidRPr="00FE202C">
        <w:tab/>
      </w:r>
      <w:r w:rsidR="00EA3239" w:rsidRPr="00B0111D">
        <w:rPr>
          <w:b/>
        </w:rPr>
        <w:t>McLane Research Laboratories</w:t>
      </w:r>
    </w:p>
    <w:p w:rsidR="004F1081" w:rsidRPr="00EA3239" w:rsidRDefault="004F1081" w:rsidP="00B0111D">
      <w:pPr>
        <w:pStyle w:val="Paragraphestandard"/>
        <w:tabs>
          <w:tab w:val="left" w:pos="2410"/>
        </w:tabs>
        <w:spacing w:before="0"/>
        <w:rPr>
          <w:color w:val="FF0000"/>
        </w:rPr>
      </w:pPr>
      <w:r w:rsidRPr="00FE202C">
        <w:t>Model:</w:t>
      </w:r>
      <w:r w:rsidRPr="00FE202C">
        <w:tab/>
      </w:r>
      <w:r w:rsidR="00EA3239" w:rsidRPr="00B0111D">
        <w:rPr>
          <w:b/>
        </w:rPr>
        <w:t>WTS-6-1-142</w:t>
      </w:r>
    </w:p>
    <w:p w:rsidR="004F1081" w:rsidRPr="00FE202C" w:rsidRDefault="004F1081" w:rsidP="00B0111D">
      <w:pPr>
        <w:pStyle w:val="Paragraphestandard"/>
        <w:tabs>
          <w:tab w:val="left" w:pos="2410"/>
        </w:tabs>
        <w:spacing w:before="0"/>
        <w:rPr>
          <w:b/>
        </w:rPr>
      </w:pPr>
      <w:r w:rsidRPr="00FE202C">
        <w:t xml:space="preserve">Instrument Features / Calibration: </w:t>
      </w:r>
      <w:r w:rsidR="00EA3239" w:rsidRPr="00A963F4">
        <w:rPr>
          <w:color w:val="000000" w:themeColor="text1"/>
        </w:rPr>
        <w:t>N/A</w:t>
      </w:r>
    </w:p>
    <w:p w:rsidR="00AE2BD6" w:rsidRPr="00FE202C" w:rsidRDefault="00AE2BD6" w:rsidP="00D0498F">
      <w:pPr>
        <w:pStyle w:val="Titre1"/>
        <w:rPr>
          <w:lang w:val="en-US"/>
        </w:rPr>
      </w:pPr>
      <w:r w:rsidRPr="00FE202C">
        <w:rPr>
          <w:lang w:val="en-US"/>
        </w:rPr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132D4D" w:rsidRPr="00303CF7" w:rsidRDefault="007F6423" w:rsidP="00303CF7">
      <w:pPr>
        <w:pStyle w:val="Paragraphestandard"/>
      </w:pPr>
      <w:r w:rsidRPr="00303CF7">
        <w:t xml:space="preserve">Particulate </w:t>
      </w:r>
      <w:r w:rsidR="00EA73E7" w:rsidRPr="00303CF7">
        <w:t xml:space="preserve">samples </w:t>
      </w:r>
      <w:r w:rsidRPr="00303CF7">
        <w:t xml:space="preserve">fractionated according to size </w:t>
      </w:r>
      <w:r w:rsidR="00EA73E7" w:rsidRPr="00303CF7">
        <w:t>were processed on board as follow:</w:t>
      </w:r>
    </w:p>
    <w:p w:rsidR="00C77444" w:rsidRDefault="00C77444" w:rsidP="00303CF7">
      <w:pPr>
        <w:pStyle w:val="Paragraphestandard"/>
        <w:rPr>
          <w:lang w:eastAsia="es-ES_tradnl"/>
        </w:rPr>
      </w:pPr>
      <w:r w:rsidRPr="00303CF7">
        <w:t>For the</w:t>
      </w:r>
      <w:r>
        <w:rPr>
          <w:lang w:eastAsia="es-ES_tradnl"/>
        </w:rPr>
        <w:t xml:space="preserve"> 1/50/300 µm configuration, the following subsampling scheme was used:</w:t>
      </w:r>
    </w:p>
    <w:p w:rsidR="00EA73E7" w:rsidRPr="00303CF7" w:rsidRDefault="00EA73E7" w:rsidP="00303CF7">
      <w:pPr>
        <w:pStyle w:val="Listepuces"/>
        <w:rPr>
          <w:lang w:val="en-US"/>
        </w:rPr>
      </w:pPr>
      <w:r w:rsidRPr="00B0111D">
        <w:rPr>
          <w:lang w:val="en-US"/>
        </w:rPr>
        <w:t>The 300 µm</w:t>
      </w:r>
      <w:r w:rsidR="00C77444" w:rsidRPr="00B0111D">
        <w:rPr>
          <w:lang w:val="en-US"/>
        </w:rPr>
        <w:t xml:space="preserve"> filter</w:t>
      </w:r>
      <w:r w:rsidRPr="00B0111D">
        <w:rPr>
          <w:lang w:val="en-US"/>
        </w:rPr>
        <w:t xml:space="preserve"> </w:t>
      </w:r>
      <w:r w:rsidR="00F5326E" w:rsidRPr="00B0111D">
        <w:rPr>
          <w:lang w:val="en-US"/>
        </w:rPr>
        <w:t xml:space="preserve">was expected to collect only zooplanctonic organisms. </w:t>
      </w:r>
      <w:r w:rsidR="00C67C9E" w:rsidRPr="00B0111D">
        <w:rPr>
          <w:lang w:val="en-US"/>
        </w:rPr>
        <w:t>The whole filtered</w:t>
      </w:r>
      <w:r w:rsidR="00F5326E" w:rsidRPr="00B0111D">
        <w:rPr>
          <w:lang w:val="en-US"/>
        </w:rPr>
        <w:t xml:space="preserve"> material was resuspended with filtered (0.4 µm) seawater and </w:t>
      </w:r>
      <w:r w:rsidRPr="00B0111D">
        <w:rPr>
          <w:lang w:val="en-US"/>
        </w:rPr>
        <w:t xml:space="preserve">subsampled using </w:t>
      </w:r>
      <w:r w:rsidR="00F5326E" w:rsidRPr="00B0111D">
        <w:rPr>
          <w:lang w:val="en-US"/>
        </w:rPr>
        <w:t xml:space="preserve">a MOTODA splitting box. </w:t>
      </w:r>
      <w:r w:rsidR="00F5326E" w:rsidRPr="00303CF7">
        <w:rPr>
          <w:lang w:val="en-US"/>
        </w:rPr>
        <w:t xml:space="preserve">Subsamples were recollected on GF/F filters </w:t>
      </w:r>
      <w:r w:rsidR="00052731" w:rsidRPr="00303CF7">
        <w:rPr>
          <w:lang w:val="en-US"/>
        </w:rPr>
        <w:t xml:space="preserve">to allow </w:t>
      </w:r>
      <w:r w:rsidR="007236AD">
        <w:rPr>
          <w:lang w:val="en-US"/>
        </w:rPr>
        <w:t>particulate organic carbon (</w:t>
      </w:r>
      <w:r w:rsidR="00052731" w:rsidRPr="00303CF7">
        <w:rPr>
          <w:lang w:val="en-US"/>
        </w:rPr>
        <w:t>POC</w:t>
      </w:r>
      <w:r w:rsidR="007236AD">
        <w:rPr>
          <w:lang w:val="en-US"/>
        </w:rPr>
        <w:t>)</w:t>
      </w:r>
      <w:r w:rsidR="00052731" w:rsidRPr="00303CF7">
        <w:rPr>
          <w:lang w:val="en-US"/>
        </w:rPr>
        <w:t xml:space="preserve">, </w:t>
      </w:r>
      <w:r w:rsidR="007236AD">
        <w:rPr>
          <w:lang w:val="en-US"/>
        </w:rPr>
        <w:t>particulate organic nitrogen (</w:t>
      </w:r>
      <w:r w:rsidR="00052731" w:rsidRPr="00303CF7">
        <w:rPr>
          <w:lang w:val="en-US"/>
        </w:rPr>
        <w:t>P</w:t>
      </w:r>
      <w:r w:rsidR="007236AD">
        <w:rPr>
          <w:lang w:val="en-US"/>
        </w:rPr>
        <w:t>O</w:t>
      </w:r>
      <w:r w:rsidR="00052731" w:rsidRPr="00303CF7">
        <w:rPr>
          <w:lang w:val="en-US"/>
        </w:rPr>
        <w:t>N</w:t>
      </w:r>
      <w:r w:rsidR="007236AD">
        <w:rPr>
          <w:lang w:val="en-US"/>
        </w:rPr>
        <w:t>)</w:t>
      </w:r>
      <w:r w:rsidR="00052731" w:rsidRPr="00303CF7">
        <w:rPr>
          <w:lang w:val="en-US"/>
        </w:rPr>
        <w:t xml:space="preserve">, </w:t>
      </w:r>
      <w:r w:rsidR="00052731" w:rsidRPr="00303CF7">
        <w:t>δ</w:t>
      </w:r>
      <w:r w:rsidR="00052731" w:rsidRPr="00303CF7">
        <w:rPr>
          <w:vertAlign w:val="superscript"/>
          <w:lang w:val="en-US"/>
        </w:rPr>
        <w:t>13</w:t>
      </w:r>
      <w:r w:rsidR="00052731" w:rsidRPr="00303CF7">
        <w:rPr>
          <w:lang w:val="en-US"/>
        </w:rPr>
        <w:t xml:space="preserve">C, </w:t>
      </w:r>
      <w:r w:rsidR="00052731" w:rsidRPr="00303CF7">
        <w:t>δ</w:t>
      </w:r>
      <w:r w:rsidR="00052731" w:rsidRPr="00303CF7">
        <w:rPr>
          <w:vertAlign w:val="superscript"/>
          <w:lang w:val="en-US"/>
        </w:rPr>
        <w:t>15</w:t>
      </w:r>
      <w:r w:rsidR="00052731" w:rsidRPr="00303CF7">
        <w:rPr>
          <w:lang w:val="en-US"/>
        </w:rPr>
        <w:t>N</w:t>
      </w:r>
      <w:r w:rsidR="00C77444" w:rsidRPr="00303CF7">
        <w:rPr>
          <w:lang w:val="en-US"/>
        </w:rPr>
        <w:t xml:space="preserve"> (1/4)</w:t>
      </w:r>
      <w:r w:rsidR="00052731" w:rsidRPr="00303CF7">
        <w:rPr>
          <w:lang w:val="en-US"/>
        </w:rPr>
        <w:t xml:space="preserve">, lipid content </w:t>
      </w:r>
      <w:r w:rsidR="00C77444" w:rsidRPr="00303CF7">
        <w:rPr>
          <w:lang w:val="en-US"/>
        </w:rPr>
        <w:t xml:space="preserve">(1/2) </w:t>
      </w:r>
      <w:r w:rsidR="00052731" w:rsidRPr="00303CF7">
        <w:rPr>
          <w:lang w:val="en-US"/>
        </w:rPr>
        <w:t>and microzoop</w:t>
      </w:r>
      <w:r w:rsidR="00C77444" w:rsidRPr="00303CF7">
        <w:rPr>
          <w:lang w:val="en-US"/>
        </w:rPr>
        <w:t>lankton taxonomy determination (1/4)</w:t>
      </w:r>
    </w:p>
    <w:p w:rsidR="007F6423" w:rsidRPr="00B0111D" w:rsidRDefault="00800E45" w:rsidP="00303CF7">
      <w:pPr>
        <w:pStyle w:val="Listepuces"/>
        <w:rPr>
          <w:lang w:val="en-US"/>
        </w:rPr>
      </w:pPr>
      <w:r w:rsidRPr="00B0111D">
        <w:rPr>
          <w:lang w:val="en-US"/>
        </w:rPr>
        <w:t>The 50 µm filter was cut into quarter</w:t>
      </w:r>
      <w:r w:rsidR="00C77444" w:rsidRPr="00B0111D">
        <w:rPr>
          <w:lang w:val="en-US"/>
        </w:rPr>
        <w:t>s</w:t>
      </w:r>
      <w:r w:rsidR="007F6423" w:rsidRPr="00B0111D">
        <w:rPr>
          <w:lang w:val="en-US"/>
        </w:rPr>
        <w:t xml:space="preserve">. </w:t>
      </w:r>
      <w:r w:rsidR="00AB5632" w:rsidRPr="00B0111D">
        <w:rPr>
          <w:lang w:val="en-US"/>
        </w:rPr>
        <w:t xml:space="preserve">3 quarters were resuspended using filtered seawater and recollected separately on different filter types to allow </w:t>
      </w:r>
      <w:r w:rsidR="00C77444" w:rsidRPr="00B0111D">
        <w:rPr>
          <w:lang w:val="en-US"/>
        </w:rPr>
        <w:t xml:space="preserve">the </w:t>
      </w:r>
      <w:r w:rsidR="00AB5632" w:rsidRPr="00B0111D">
        <w:rPr>
          <w:lang w:val="en-US"/>
        </w:rPr>
        <w:t xml:space="preserve">analysis of targeted parameters. </w:t>
      </w:r>
      <w:r w:rsidR="00AB5632" w:rsidRPr="00303CF7">
        <w:rPr>
          <w:lang w:val="en-US"/>
        </w:rPr>
        <w:t xml:space="preserve">¼ was recollected on a 25 mm QMA filters for </w:t>
      </w:r>
      <w:r w:rsidR="007F6423" w:rsidRPr="00303CF7">
        <w:rPr>
          <w:vertAlign w:val="superscript"/>
          <w:lang w:val="en-US"/>
        </w:rPr>
        <w:t>234</w:t>
      </w:r>
      <w:r w:rsidR="007F6423" w:rsidRPr="00303CF7">
        <w:rPr>
          <w:lang w:val="en-US"/>
        </w:rPr>
        <w:t xml:space="preserve">Th, POC, PN, </w:t>
      </w:r>
      <w:r w:rsidR="00303CF7" w:rsidRPr="00303CF7">
        <w:t>δ</w:t>
      </w:r>
      <w:r w:rsidR="00303CF7" w:rsidRPr="00303CF7">
        <w:rPr>
          <w:vertAlign w:val="superscript"/>
          <w:lang w:val="en-US"/>
        </w:rPr>
        <w:t>13</w:t>
      </w:r>
      <w:r w:rsidR="00303CF7" w:rsidRPr="00303CF7">
        <w:rPr>
          <w:lang w:val="en-US"/>
        </w:rPr>
        <w:t xml:space="preserve">C, </w:t>
      </w:r>
      <w:r w:rsidR="00303CF7" w:rsidRPr="00303CF7">
        <w:t>δ</w:t>
      </w:r>
      <w:r w:rsidR="00303CF7" w:rsidRPr="00303CF7">
        <w:rPr>
          <w:vertAlign w:val="superscript"/>
          <w:lang w:val="en-US"/>
        </w:rPr>
        <w:t>15</w:t>
      </w:r>
      <w:r w:rsidR="00303CF7" w:rsidRPr="00303CF7">
        <w:rPr>
          <w:lang w:val="en-US"/>
        </w:rPr>
        <w:t xml:space="preserve">N </w:t>
      </w:r>
      <w:r w:rsidR="00AB5632" w:rsidRPr="00303CF7">
        <w:rPr>
          <w:lang w:val="en-US"/>
        </w:rPr>
        <w:t>determination. ¼ was recollected on a 25 mm PC filter</w:t>
      </w:r>
      <w:r w:rsidR="00C67C9E" w:rsidRPr="00303CF7">
        <w:rPr>
          <w:lang w:val="en-US"/>
        </w:rPr>
        <w:t xml:space="preserve"> </w:t>
      </w:r>
      <w:r w:rsidR="00AB5632" w:rsidRPr="00303CF7">
        <w:rPr>
          <w:lang w:val="en-US"/>
        </w:rPr>
        <w:t xml:space="preserve">for </w:t>
      </w:r>
      <w:r w:rsidR="00303CF7" w:rsidRPr="00303CF7">
        <w:rPr>
          <w:vertAlign w:val="superscript"/>
          <w:lang w:val="en-US"/>
        </w:rPr>
        <w:t>234</w:t>
      </w:r>
      <w:r w:rsidR="00303CF7" w:rsidRPr="00303CF7">
        <w:rPr>
          <w:lang w:val="en-US"/>
        </w:rPr>
        <w:t>Th</w:t>
      </w:r>
      <w:r w:rsidR="00AB5632" w:rsidRPr="00303CF7">
        <w:rPr>
          <w:lang w:val="en-US"/>
        </w:rPr>
        <w:t>, BSi, LSi determination</w:t>
      </w:r>
      <w:r w:rsidR="00C67C9E" w:rsidRPr="00303CF7">
        <w:rPr>
          <w:lang w:val="en-US"/>
        </w:rPr>
        <w:t xml:space="preserve">. </w:t>
      </w:r>
      <w:r w:rsidR="00C67C9E" w:rsidRPr="00B0111D">
        <w:rPr>
          <w:lang w:val="en-US"/>
        </w:rPr>
        <w:t xml:space="preserve">The third quarter was recollected on a 47 mm GFF filter and immediately extracted using a 2:1 chloroform:acetone solvent for lipid content determination. The last quarter was stored at </w:t>
      </w:r>
      <w:r w:rsidR="00303CF7" w:rsidRPr="00B0111D">
        <w:rPr>
          <w:lang w:val="en-US"/>
        </w:rPr>
        <w:t>–</w:t>
      </w:r>
      <w:r w:rsidR="00C67C9E" w:rsidRPr="00B0111D">
        <w:rPr>
          <w:lang w:val="en-US"/>
        </w:rPr>
        <w:t>80°C and will be processed at home laboratory under clean conditions for Al, Ca, Na and P content.</w:t>
      </w:r>
    </w:p>
    <w:p w:rsidR="00C67C9E" w:rsidRPr="00B0111D" w:rsidRDefault="00C67C9E" w:rsidP="00303CF7">
      <w:pPr>
        <w:pStyle w:val="Listepuces"/>
        <w:rPr>
          <w:lang w:val="en-US"/>
        </w:rPr>
      </w:pPr>
      <w:r w:rsidRPr="00303CF7">
        <w:rPr>
          <w:lang w:val="en-US"/>
        </w:rPr>
        <w:t xml:space="preserve">The 1 µm QMA filter was subsampled using a 25 mm plexiglass punch. </w:t>
      </w:r>
      <w:r w:rsidRPr="00B0111D">
        <w:rPr>
          <w:lang w:val="en-US"/>
        </w:rPr>
        <w:t xml:space="preserve">4 punches were collected for lipid content determination and immediately extracted using a 2:1 chloroform:acetone solvent. </w:t>
      </w:r>
      <w:r w:rsidR="00CC1115" w:rsidRPr="00303CF7">
        <w:rPr>
          <w:lang w:val="en-US"/>
        </w:rPr>
        <w:t xml:space="preserve">4 additional </w:t>
      </w:r>
      <w:r w:rsidRPr="00303CF7">
        <w:rPr>
          <w:lang w:val="en-US"/>
        </w:rPr>
        <w:t xml:space="preserve">punches were </w:t>
      </w:r>
      <w:r w:rsidR="00CC1115" w:rsidRPr="00303CF7">
        <w:rPr>
          <w:lang w:val="en-US"/>
        </w:rPr>
        <w:t>sampled f</w:t>
      </w:r>
      <w:r w:rsidRPr="00303CF7">
        <w:rPr>
          <w:lang w:val="en-US"/>
        </w:rPr>
        <w:t xml:space="preserve">or </w:t>
      </w:r>
      <w:r w:rsidR="00CC1115" w:rsidRPr="00303CF7">
        <w:rPr>
          <w:lang w:val="en-US"/>
        </w:rPr>
        <w:t xml:space="preserve">234Th, </w:t>
      </w:r>
      <w:r w:rsidRPr="00303CF7">
        <w:rPr>
          <w:lang w:val="en-US"/>
        </w:rPr>
        <w:t xml:space="preserve">POC, PN, </w:t>
      </w:r>
      <w:r w:rsidR="00303CF7" w:rsidRPr="000440ED">
        <w:t>δ</w:t>
      </w:r>
      <w:r w:rsidR="00303CF7" w:rsidRPr="00303CF7">
        <w:rPr>
          <w:vertAlign w:val="superscript"/>
          <w:lang w:val="en-US"/>
        </w:rPr>
        <w:t>13</w:t>
      </w:r>
      <w:r w:rsidR="00303CF7" w:rsidRPr="00303CF7">
        <w:rPr>
          <w:lang w:val="en-US"/>
        </w:rPr>
        <w:t xml:space="preserve">C, </w:t>
      </w:r>
      <w:r w:rsidR="00303CF7" w:rsidRPr="00DB51F0">
        <w:t>δ</w:t>
      </w:r>
      <w:r w:rsidR="00303CF7" w:rsidRPr="00DB51F0">
        <w:rPr>
          <w:vertAlign w:val="superscript"/>
          <w:lang w:val="en-US"/>
        </w:rPr>
        <w:t>15</w:t>
      </w:r>
      <w:r w:rsidR="00303CF7" w:rsidRPr="00DB51F0">
        <w:rPr>
          <w:lang w:val="en-US"/>
        </w:rPr>
        <w:t>N</w:t>
      </w:r>
      <w:r w:rsidR="00303CF7" w:rsidRPr="00303CF7">
        <w:rPr>
          <w:lang w:val="en-US"/>
        </w:rPr>
        <w:t xml:space="preserve"> </w:t>
      </w:r>
      <w:r w:rsidR="00CC1115" w:rsidRPr="00303CF7">
        <w:rPr>
          <w:lang w:val="en-US"/>
        </w:rPr>
        <w:t xml:space="preserve">(1 punch), for BSi and LSi (1 punch), for </w:t>
      </w:r>
      <w:r w:rsidR="007236AD">
        <w:rPr>
          <w:lang w:val="en-US"/>
        </w:rPr>
        <w:t>particulate ogranic phosphorus (</w:t>
      </w:r>
      <w:r w:rsidR="00CC1115" w:rsidRPr="00303CF7">
        <w:rPr>
          <w:lang w:val="en-US"/>
        </w:rPr>
        <w:t>POP</w:t>
      </w:r>
      <w:r w:rsidR="007236AD">
        <w:rPr>
          <w:lang w:val="en-US"/>
        </w:rPr>
        <w:t>)</w:t>
      </w:r>
      <w:r w:rsidR="00CC1115" w:rsidRPr="00303CF7">
        <w:rPr>
          <w:lang w:val="en-US"/>
        </w:rPr>
        <w:t xml:space="preserve">, Al, Ca, Na determination (1 punch) and for </w:t>
      </w:r>
      <w:r w:rsidR="00F37334" w:rsidRPr="00303CF7">
        <w:rPr>
          <w:lang w:val="en-US"/>
        </w:rPr>
        <w:t xml:space="preserve">backup analysis </w:t>
      </w:r>
      <w:r w:rsidR="00C77444" w:rsidRPr="00303CF7">
        <w:rPr>
          <w:lang w:val="en-US"/>
        </w:rPr>
        <w:t xml:space="preserve">(1 punch). </w:t>
      </w:r>
      <w:r w:rsidR="00C77444" w:rsidRPr="00B0111D">
        <w:rPr>
          <w:lang w:val="en-US"/>
        </w:rPr>
        <w:t>The remaining part of the QMA filter was frozen (</w:t>
      </w:r>
      <w:r w:rsidR="00303CF7" w:rsidRPr="00B0111D">
        <w:rPr>
          <w:lang w:val="en-US"/>
        </w:rPr>
        <w:t>–</w:t>
      </w:r>
      <w:r w:rsidR="00C77444" w:rsidRPr="00B0111D">
        <w:rPr>
          <w:lang w:val="en-US"/>
        </w:rPr>
        <w:t xml:space="preserve">80°C) and kept as a </w:t>
      </w:r>
      <w:r w:rsidR="00F37334" w:rsidRPr="00B0111D">
        <w:rPr>
          <w:lang w:val="en-US"/>
        </w:rPr>
        <w:t>backup</w:t>
      </w:r>
      <w:r w:rsidR="00C77444" w:rsidRPr="00B0111D">
        <w:rPr>
          <w:lang w:val="en-US"/>
        </w:rPr>
        <w:t xml:space="preserve"> for lipid content analysis.</w:t>
      </w:r>
    </w:p>
    <w:p w:rsidR="00C77444" w:rsidRDefault="00C77444" w:rsidP="00303CF7">
      <w:pPr>
        <w:pStyle w:val="Paragraphestandard"/>
        <w:rPr>
          <w:lang w:eastAsia="es-ES_tradnl"/>
        </w:rPr>
      </w:pPr>
      <w:r>
        <w:rPr>
          <w:lang w:eastAsia="es-ES_tradnl"/>
        </w:rPr>
        <w:t>For the 1/20/200 µm configuration, the following subsampling scheme was used:</w:t>
      </w:r>
    </w:p>
    <w:p w:rsidR="00C77444" w:rsidRPr="00303CF7" w:rsidRDefault="00C77444" w:rsidP="00303CF7">
      <w:pPr>
        <w:pStyle w:val="Listepuces"/>
        <w:rPr>
          <w:lang w:val="en-US"/>
        </w:rPr>
      </w:pPr>
      <w:r w:rsidRPr="00B0111D">
        <w:rPr>
          <w:lang w:val="en-US"/>
        </w:rPr>
        <w:t xml:space="preserve">The 200 µm filter was processed in the same way as the 300 µm. The whole filtered material was resuspended with filtered (0.4 µm) seawater and subsampled using a MOTODA splitting box. </w:t>
      </w:r>
      <w:r w:rsidRPr="00303CF7">
        <w:rPr>
          <w:lang w:val="en-US"/>
        </w:rPr>
        <w:t xml:space="preserve">Subsamples were recollected on GF/F filters to allow POC, PN, </w:t>
      </w:r>
      <w:r w:rsidR="00303CF7" w:rsidRPr="000440ED">
        <w:t>δ</w:t>
      </w:r>
      <w:r w:rsidR="00303CF7" w:rsidRPr="00303CF7">
        <w:rPr>
          <w:vertAlign w:val="superscript"/>
          <w:lang w:val="en-US"/>
        </w:rPr>
        <w:t>13</w:t>
      </w:r>
      <w:r w:rsidR="00303CF7" w:rsidRPr="00303CF7">
        <w:rPr>
          <w:lang w:val="en-US"/>
        </w:rPr>
        <w:t xml:space="preserve">C, </w:t>
      </w:r>
      <w:r w:rsidR="00303CF7" w:rsidRPr="00DB51F0">
        <w:t>δ</w:t>
      </w:r>
      <w:r w:rsidR="00303CF7" w:rsidRPr="00DB51F0">
        <w:rPr>
          <w:vertAlign w:val="superscript"/>
          <w:lang w:val="en-US"/>
        </w:rPr>
        <w:t>15</w:t>
      </w:r>
      <w:r w:rsidR="00303CF7" w:rsidRPr="00DB51F0">
        <w:rPr>
          <w:lang w:val="en-US"/>
        </w:rPr>
        <w:t>N</w:t>
      </w:r>
      <w:r w:rsidR="00303CF7" w:rsidRPr="00303CF7">
        <w:rPr>
          <w:lang w:val="en-US"/>
        </w:rPr>
        <w:t xml:space="preserve"> </w:t>
      </w:r>
      <w:r w:rsidRPr="00303CF7">
        <w:rPr>
          <w:lang w:val="en-US"/>
        </w:rPr>
        <w:t>(1/4), lipid content (1/2) and microzooplankton taxonomy determination (1/4)</w:t>
      </w:r>
    </w:p>
    <w:p w:rsidR="00C77444" w:rsidRPr="00B0111D" w:rsidRDefault="00C77444" w:rsidP="00303CF7">
      <w:pPr>
        <w:pStyle w:val="Listepuces"/>
        <w:rPr>
          <w:lang w:val="en-US"/>
        </w:rPr>
      </w:pPr>
      <w:r w:rsidRPr="00B0111D">
        <w:rPr>
          <w:lang w:val="en-US"/>
        </w:rPr>
        <w:t xml:space="preserve">The 20 µm filter was cut in two parts. One half </w:t>
      </w:r>
      <w:r w:rsidR="00F37334" w:rsidRPr="00B0111D">
        <w:rPr>
          <w:lang w:val="en-US"/>
        </w:rPr>
        <w:t>was resuspended using filtered seawater and recollected on GF/F filter followed by lipid extraction using a 2:1 chloroform:acetone solvent. The remaining half was frozen and kept as a backup.</w:t>
      </w:r>
    </w:p>
    <w:p w:rsidR="00F37334" w:rsidRPr="007236AD" w:rsidRDefault="00F37334" w:rsidP="00303CF7">
      <w:pPr>
        <w:pStyle w:val="Listepuces"/>
        <w:rPr>
          <w:lang w:val="en-US"/>
        </w:rPr>
      </w:pPr>
      <w:r w:rsidRPr="00B0111D">
        <w:rPr>
          <w:lang w:val="en-US"/>
        </w:rPr>
        <w:t xml:space="preserve">The 1 µm QMA filter was subsampled using a 25 mm plexiglass punch. 4 punches were collected for lipid content determination and immediately extracted using a 2:1 chloroform:acetone solvent. </w:t>
      </w:r>
      <w:r w:rsidRPr="007236AD">
        <w:rPr>
          <w:lang w:val="en-US"/>
        </w:rPr>
        <w:t>The remaining part of the QMA filter was frozen (</w:t>
      </w:r>
      <w:r w:rsidR="007236AD">
        <w:rPr>
          <w:lang w:val="en-US"/>
        </w:rPr>
        <w:t>–</w:t>
      </w:r>
      <w:r w:rsidRPr="007236AD">
        <w:rPr>
          <w:lang w:val="en-US"/>
        </w:rPr>
        <w:t>80°C) and kept as a backup for lipid content analysis.</w:t>
      </w:r>
    </w:p>
    <w:p w:rsidR="00F37334" w:rsidRDefault="00F37334" w:rsidP="00303CF7">
      <w:pPr>
        <w:pStyle w:val="Paragraphestandard"/>
        <w:rPr>
          <w:lang w:eastAsia="es-ES_tradnl"/>
        </w:rPr>
      </w:pPr>
      <w:r>
        <w:rPr>
          <w:lang w:eastAsia="es-ES_tradnl"/>
        </w:rPr>
        <w:t>For the 1/20/50 µm configuration used only at the last station (M3-3), the following subsampling scheme was used:</w:t>
      </w:r>
    </w:p>
    <w:p w:rsidR="00F37334" w:rsidRPr="00B0111D" w:rsidRDefault="00F37334" w:rsidP="00303CF7">
      <w:pPr>
        <w:pStyle w:val="Listepuces"/>
        <w:rPr>
          <w:lang w:val="en-US"/>
        </w:rPr>
      </w:pPr>
      <w:r w:rsidRPr="00B0111D">
        <w:rPr>
          <w:lang w:val="en-US"/>
        </w:rPr>
        <w:t xml:space="preserve">The 50 and 20 µm filters were processed in the same way. 3 quarters were resuspended using filtered seawater and recollected separately on different filter types </w:t>
      </w:r>
      <w:r w:rsidRPr="00B0111D">
        <w:rPr>
          <w:lang w:val="en-US"/>
        </w:rPr>
        <w:lastRenderedPageBreak/>
        <w:t xml:space="preserve">to allow the analysis of targeted parameters. </w:t>
      </w:r>
      <w:r w:rsidRPr="00303CF7">
        <w:rPr>
          <w:lang w:val="en-US"/>
        </w:rPr>
        <w:t xml:space="preserve">¼ was recollected on a 25 mm QMA filters for </w:t>
      </w:r>
      <w:r w:rsidRPr="00303CF7">
        <w:rPr>
          <w:vertAlign w:val="superscript"/>
          <w:lang w:val="en-US"/>
        </w:rPr>
        <w:t>234</w:t>
      </w:r>
      <w:r w:rsidR="00303CF7" w:rsidRPr="00303CF7">
        <w:rPr>
          <w:lang w:val="en-US"/>
        </w:rPr>
        <w:t>Th</w:t>
      </w:r>
      <w:r w:rsidRPr="00303CF7">
        <w:rPr>
          <w:lang w:val="en-US"/>
        </w:rPr>
        <w:t xml:space="preserve">, POC, PN, </w:t>
      </w:r>
      <w:r w:rsidR="00303CF7" w:rsidRPr="000440ED">
        <w:t>δ</w:t>
      </w:r>
      <w:r w:rsidR="00303CF7" w:rsidRPr="00303CF7">
        <w:rPr>
          <w:vertAlign w:val="superscript"/>
          <w:lang w:val="en-US"/>
        </w:rPr>
        <w:t>13</w:t>
      </w:r>
      <w:r w:rsidR="00303CF7" w:rsidRPr="00303CF7">
        <w:rPr>
          <w:lang w:val="en-US"/>
        </w:rPr>
        <w:t xml:space="preserve">C, </w:t>
      </w:r>
      <w:r w:rsidR="00303CF7" w:rsidRPr="00DB51F0">
        <w:t>δ</w:t>
      </w:r>
      <w:r w:rsidR="00303CF7" w:rsidRPr="00DB51F0">
        <w:rPr>
          <w:vertAlign w:val="superscript"/>
          <w:lang w:val="en-US"/>
        </w:rPr>
        <w:t>15</w:t>
      </w:r>
      <w:r w:rsidR="00303CF7" w:rsidRPr="00DB51F0">
        <w:rPr>
          <w:lang w:val="en-US"/>
        </w:rPr>
        <w:t>N</w:t>
      </w:r>
      <w:r w:rsidR="00303CF7" w:rsidRPr="00303CF7">
        <w:rPr>
          <w:lang w:val="en-US"/>
        </w:rPr>
        <w:t xml:space="preserve"> </w:t>
      </w:r>
      <w:r w:rsidRPr="00303CF7">
        <w:rPr>
          <w:lang w:val="en-US"/>
        </w:rPr>
        <w:t xml:space="preserve">determination. </w:t>
      </w:r>
      <w:r w:rsidRPr="00EE5604">
        <w:rPr>
          <w:lang w:val="en-US"/>
        </w:rPr>
        <w:t>¼ was recollecte</w:t>
      </w:r>
      <w:r w:rsidR="00EE5604" w:rsidRPr="00EE5604">
        <w:rPr>
          <w:lang w:val="en-US"/>
        </w:rPr>
        <w:t xml:space="preserve">d on a 25 mm PC filter for </w:t>
      </w:r>
      <w:r w:rsidR="00EE5604" w:rsidRPr="00303CF7">
        <w:rPr>
          <w:vertAlign w:val="superscript"/>
          <w:lang w:val="en-US"/>
        </w:rPr>
        <w:t>234</w:t>
      </w:r>
      <w:r w:rsidR="00EE5604" w:rsidRPr="00303CF7">
        <w:rPr>
          <w:lang w:val="en-US"/>
        </w:rPr>
        <w:t>Th</w:t>
      </w:r>
      <w:r w:rsidRPr="00EE5604">
        <w:rPr>
          <w:lang w:val="en-US"/>
        </w:rPr>
        <w:t xml:space="preserve">, BSi, LSi determination. </w:t>
      </w:r>
      <w:r w:rsidRPr="00B0111D">
        <w:rPr>
          <w:lang w:val="en-US"/>
        </w:rPr>
        <w:t xml:space="preserve">The third quarter was recollected on a 47 mm GFF filter and immediately extracted using a 2:1 chloroform:acetone solvent for lipid content determination. The last quarter was stored at </w:t>
      </w:r>
      <w:r w:rsidR="00303CF7" w:rsidRPr="00B0111D">
        <w:rPr>
          <w:lang w:val="en-US"/>
        </w:rPr>
        <w:t>–</w:t>
      </w:r>
      <w:r w:rsidRPr="00B0111D">
        <w:rPr>
          <w:lang w:val="en-US"/>
        </w:rPr>
        <w:t>80°C and will be processed at home laboratory under clean conditions for Al, Ca, Na and P content.</w:t>
      </w:r>
    </w:p>
    <w:p w:rsidR="00F37334" w:rsidRPr="007236AD" w:rsidRDefault="00F37334" w:rsidP="00303CF7">
      <w:pPr>
        <w:pStyle w:val="Listepuces"/>
        <w:rPr>
          <w:lang w:val="en-US"/>
        </w:rPr>
      </w:pPr>
      <w:r w:rsidRPr="00B0111D">
        <w:rPr>
          <w:lang w:val="en-US"/>
        </w:rPr>
        <w:t xml:space="preserve">The 1 µm QMA filter was subsampled using a 25 mm plexiglass punch. 4 punches were collected for lipid content determination and immediately extracted using a 2:1 chloroform:acetone solvent. </w:t>
      </w:r>
      <w:r w:rsidRPr="00EE5604">
        <w:rPr>
          <w:lang w:val="en-US"/>
        </w:rPr>
        <w:t xml:space="preserve">4 additional punches were sampled for </w:t>
      </w:r>
      <w:r w:rsidR="00303CF7" w:rsidRPr="00EE5604">
        <w:rPr>
          <w:vertAlign w:val="superscript"/>
          <w:lang w:val="en-US"/>
        </w:rPr>
        <w:t>234</w:t>
      </w:r>
      <w:r w:rsidR="00303CF7" w:rsidRPr="00EE5604">
        <w:rPr>
          <w:lang w:val="en-US"/>
        </w:rPr>
        <w:t xml:space="preserve">Th, POC, PN, </w:t>
      </w:r>
      <w:r w:rsidR="00303CF7" w:rsidRPr="00303CF7">
        <w:t>δ</w:t>
      </w:r>
      <w:r w:rsidR="00303CF7" w:rsidRPr="00EE5604">
        <w:rPr>
          <w:vertAlign w:val="superscript"/>
          <w:lang w:val="en-US"/>
        </w:rPr>
        <w:t>13</w:t>
      </w:r>
      <w:r w:rsidR="00303CF7" w:rsidRPr="00EE5604">
        <w:rPr>
          <w:lang w:val="en-US"/>
        </w:rPr>
        <w:t xml:space="preserve">C, </w:t>
      </w:r>
      <w:r w:rsidR="00303CF7" w:rsidRPr="00303CF7">
        <w:t>δ</w:t>
      </w:r>
      <w:r w:rsidR="00303CF7" w:rsidRPr="00EE5604">
        <w:rPr>
          <w:vertAlign w:val="superscript"/>
          <w:lang w:val="en-US"/>
        </w:rPr>
        <w:t>15</w:t>
      </w:r>
      <w:r w:rsidR="00303CF7" w:rsidRPr="00EE5604">
        <w:rPr>
          <w:lang w:val="en-US"/>
        </w:rPr>
        <w:t xml:space="preserve">N </w:t>
      </w:r>
      <w:r w:rsidRPr="00EE5604">
        <w:rPr>
          <w:lang w:val="en-US"/>
        </w:rPr>
        <w:t xml:space="preserve">(1 punch), for BSi and LSi (1 punch), for POP, Al, Ca, Na determination (1 punch) and for backup analysis (1 punch). </w:t>
      </w:r>
      <w:r w:rsidRPr="007236AD">
        <w:rPr>
          <w:lang w:val="en-US"/>
        </w:rPr>
        <w:t>The remaining part of the QMA filter was frozen (</w:t>
      </w:r>
      <w:r w:rsidR="007236AD">
        <w:rPr>
          <w:lang w:val="en-US"/>
        </w:rPr>
        <w:t>–</w:t>
      </w:r>
      <w:r w:rsidRPr="007236AD">
        <w:rPr>
          <w:lang w:val="en-US"/>
        </w:rPr>
        <w:t>80°C) and kept as a backup for lipid content analysis.</w:t>
      </w:r>
    </w:p>
    <w:p w:rsidR="00AE2BD6" w:rsidRDefault="00AE2BD6" w:rsidP="00D0498F">
      <w:pPr>
        <w:pStyle w:val="Titre2"/>
      </w:pPr>
      <w:r>
        <w:t>Analytical procedure</w:t>
      </w:r>
    </w:p>
    <w:p w:rsidR="005051E2" w:rsidRPr="007236AD" w:rsidRDefault="005051E2" w:rsidP="007236AD">
      <w:pPr>
        <w:pStyle w:val="Titre3"/>
      </w:pPr>
      <w:r w:rsidRPr="007236AD">
        <w:t xml:space="preserve">Particulate </w:t>
      </w:r>
      <w:r w:rsidR="007236AD" w:rsidRPr="00E427E3">
        <w:rPr>
          <w:vertAlign w:val="superscript"/>
        </w:rPr>
        <w:t>234</w:t>
      </w:r>
      <w:r w:rsidR="007236AD" w:rsidRPr="00E427E3">
        <w:t>Th</w:t>
      </w:r>
    </w:p>
    <w:p w:rsidR="005051E2" w:rsidRPr="005051E2" w:rsidRDefault="005051E2" w:rsidP="007236AD">
      <w:pPr>
        <w:pStyle w:val="Paragraphestandard"/>
      </w:pPr>
      <w:r>
        <w:t xml:space="preserve">Subsamples of the 1-50 µm, 50-300 µm, 1-20 µm, 20-50 µm, &gt; 50µm fraction </w:t>
      </w:r>
      <w:r w:rsidRPr="005051E2">
        <w:t xml:space="preserve">were dried, mounted on polyacrylamide support filter and beta counted </w:t>
      </w:r>
      <w:r>
        <w:t xml:space="preserve">onboard </w:t>
      </w:r>
      <w:r w:rsidRPr="005051E2">
        <w:t>until a 2% relative standard deviation was achieved</w:t>
      </w:r>
    </w:p>
    <w:p w:rsidR="005051E2" w:rsidRPr="005051E2" w:rsidRDefault="005051E2" w:rsidP="007236AD">
      <w:pPr>
        <w:pStyle w:val="Paragraphestandard"/>
      </w:pPr>
      <w:r w:rsidRPr="005051E2">
        <w:t>Sensor Precision: &lt;2% for samples, &lt; 0.5% for 99Tc std</w:t>
      </w:r>
    </w:p>
    <w:p w:rsidR="005051E2" w:rsidRPr="005051E2" w:rsidRDefault="005051E2" w:rsidP="007236AD">
      <w:pPr>
        <w:pStyle w:val="Titre3"/>
      </w:pPr>
      <w:r w:rsidRPr="005051E2">
        <w:t>POC, PN, δ</w:t>
      </w:r>
      <w:r w:rsidRPr="00303CF7">
        <w:rPr>
          <w:vertAlign w:val="superscript"/>
        </w:rPr>
        <w:t>13</w:t>
      </w:r>
      <w:r w:rsidRPr="005051E2">
        <w:t>C, δ</w:t>
      </w:r>
      <w:r w:rsidRPr="00303CF7">
        <w:rPr>
          <w:vertAlign w:val="superscript"/>
        </w:rPr>
        <w:t>15</w:t>
      </w:r>
      <w:r w:rsidR="007236AD">
        <w:t>N</w:t>
      </w:r>
    </w:p>
    <w:p w:rsidR="005051E2" w:rsidRPr="00303CF7" w:rsidRDefault="005051E2" w:rsidP="00303CF7">
      <w:pPr>
        <w:pStyle w:val="Paragraphestandard"/>
      </w:pPr>
      <w:r w:rsidRPr="00303CF7">
        <w:t xml:space="preserve">POC, PN, </w:t>
      </w:r>
      <w:r w:rsidR="00303CF7" w:rsidRPr="00303CF7">
        <w:t>δ</w:t>
      </w:r>
      <w:r w:rsidR="00303CF7" w:rsidRPr="007236AD">
        <w:rPr>
          <w:vertAlign w:val="superscript"/>
        </w:rPr>
        <w:t>13</w:t>
      </w:r>
      <w:r w:rsidR="00303CF7" w:rsidRPr="00303CF7">
        <w:t>C, δ</w:t>
      </w:r>
      <w:r w:rsidR="00303CF7" w:rsidRPr="007236AD">
        <w:rPr>
          <w:vertAlign w:val="superscript"/>
        </w:rPr>
        <w:t>15</w:t>
      </w:r>
      <w:r w:rsidR="00303CF7" w:rsidRPr="00303CF7">
        <w:t xml:space="preserve">N </w:t>
      </w:r>
      <w:r w:rsidRPr="00303CF7">
        <w:t xml:space="preserve">determination will be performed on all sampled size fractions. Sample will de-carbonated with HCl fuming, dried and encapsulated in tin capsule for EA-IRMS analysis (Planchon </w:t>
      </w:r>
      <w:r w:rsidR="00303CF7" w:rsidRPr="00303CF7">
        <w:rPr>
          <w:i/>
        </w:rPr>
        <w:t>et al.</w:t>
      </w:r>
      <w:r w:rsidRPr="00303CF7">
        <w:t>, 2013).</w:t>
      </w:r>
    </w:p>
    <w:p w:rsidR="005051E2" w:rsidRPr="005051E2" w:rsidRDefault="005051E2" w:rsidP="007236AD">
      <w:pPr>
        <w:pStyle w:val="Paragraphestandard"/>
      </w:pPr>
      <w:r w:rsidRPr="005051E2">
        <w:t>Sensor Precision: &lt;0.1 µmol for for POC and PN, 0.1 ‰ for δ</w:t>
      </w:r>
      <w:r w:rsidRPr="007236AD">
        <w:rPr>
          <w:vertAlign w:val="superscript"/>
        </w:rPr>
        <w:t>13</w:t>
      </w:r>
      <w:r w:rsidRPr="005051E2">
        <w:t>C and δ</w:t>
      </w:r>
      <w:r w:rsidRPr="007236AD">
        <w:rPr>
          <w:vertAlign w:val="superscript"/>
        </w:rPr>
        <w:t>15</w:t>
      </w:r>
      <w:r w:rsidRPr="005051E2">
        <w:t>N</w:t>
      </w:r>
    </w:p>
    <w:p w:rsidR="005051E2" w:rsidRPr="005051E2" w:rsidRDefault="005051E2" w:rsidP="007236AD">
      <w:pPr>
        <w:pStyle w:val="Titre3"/>
      </w:pPr>
      <w:r w:rsidRPr="005051E2">
        <w:t>BSi and LSi</w:t>
      </w:r>
    </w:p>
    <w:p w:rsidR="005051E2" w:rsidRPr="007236AD" w:rsidRDefault="00BF01D7" w:rsidP="007236AD">
      <w:pPr>
        <w:pStyle w:val="Paragraphestandard"/>
      </w:pPr>
      <w:r w:rsidRPr="007236AD">
        <w:t xml:space="preserve">Subsamples of the 1-50 µm, 50-300 µm, 1-20 µm, 20-50 µm, &gt; 50µm fraction will be processed for BSi and LSi determination. It includes </w:t>
      </w:r>
      <w:r w:rsidR="005051E2" w:rsidRPr="007236AD">
        <w:t xml:space="preserve">a two steps alkaline digestion followed by an acid digestion (Ragueneau </w:t>
      </w:r>
      <w:r w:rsidR="007236AD" w:rsidRPr="007236AD">
        <w:rPr>
          <w:rFonts w:eastAsia="Times New Roman"/>
          <w:i/>
          <w:lang w:eastAsia="fr-FR"/>
        </w:rPr>
        <w:t>et al.</w:t>
      </w:r>
      <w:r w:rsidR="005051E2" w:rsidRPr="007236AD">
        <w:t>, 2005)</w:t>
      </w:r>
      <w:r w:rsidRPr="007236AD">
        <w:t>. The analysis of silicic acid will be performed by Technicon AutoAnalyzer.</w:t>
      </w:r>
    </w:p>
    <w:p w:rsidR="005051E2" w:rsidRPr="00BF01D7" w:rsidRDefault="005051E2" w:rsidP="007236AD">
      <w:pPr>
        <w:pStyle w:val="Titre3"/>
      </w:pPr>
      <w:r w:rsidRPr="00BF01D7">
        <w:t xml:space="preserve">POP, </w:t>
      </w:r>
      <w:r w:rsidR="007236AD">
        <w:t xml:space="preserve">particulate </w:t>
      </w:r>
      <w:r w:rsidRPr="00BF01D7">
        <w:t xml:space="preserve">Ca, Na, </w:t>
      </w:r>
      <w:r w:rsidR="007236AD">
        <w:t xml:space="preserve">and </w:t>
      </w:r>
      <w:r w:rsidRPr="00BF01D7">
        <w:t>Al</w:t>
      </w:r>
    </w:p>
    <w:p w:rsidR="00BF01D7" w:rsidRPr="007236AD" w:rsidRDefault="00BF01D7" w:rsidP="00303CF7">
      <w:pPr>
        <w:pStyle w:val="Paragraphestandard"/>
        <w:rPr>
          <w:color w:val="000000" w:themeColor="text1"/>
        </w:rPr>
      </w:pPr>
      <w:r w:rsidRPr="007236AD">
        <w:t>Subsamples of the 1-50 µm, 50-300 µm, 1-20 µm, 20-50 µm, &gt; 50µm size fraction will be processed for POP, Ca, Al, Na analysis. S</w:t>
      </w:r>
      <w:r w:rsidR="005051E2" w:rsidRPr="007236AD">
        <w:t xml:space="preserve">amples </w:t>
      </w:r>
      <w:r w:rsidRPr="007236AD">
        <w:t>will be</w:t>
      </w:r>
      <w:r w:rsidR="005051E2" w:rsidRPr="007236AD">
        <w:t xml:space="preserve"> digested </w:t>
      </w:r>
      <w:r w:rsidRPr="007236AD">
        <w:t xml:space="preserve">with a </w:t>
      </w:r>
      <w:r w:rsidR="005051E2" w:rsidRPr="007236AD">
        <w:t xml:space="preserve">tri-acid mixture (HNO3, HCl, HF). Digested samples will be evaporated to dryness and redissolved with a 1% HNO3 analytical matrix (Cardinal </w:t>
      </w:r>
      <w:r w:rsidR="007236AD" w:rsidRPr="007236AD">
        <w:rPr>
          <w:rFonts w:eastAsia="Times New Roman"/>
          <w:i/>
          <w:lang w:eastAsia="fr-FR"/>
        </w:rPr>
        <w:t>et al.</w:t>
      </w:r>
      <w:r w:rsidR="005051E2" w:rsidRPr="007236AD">
        <w:t>, 2001)</w:t>
      </w:r>
      <w:r w:rsidRPr="007236AD">
        <w:t xml:space="preserve">. </w:t>
      </w:r>
      <w:r w:rsidRPr="007236AD">
        <w:rPr>
          <w:color w:val="000000" w:themeColor="text1"/>
        </w:rPr>
        <w:t>Ca, Al, Na and P content will be determined by ICP-QMS and using different certified reference materials BHVO-1, JB-3, JGb-1 and SLRS-5.</w:t>
      </w:r>
    </w:p>
    <w:p w:rsidR="005051E2" w:rsidRDefault="00BF01D7" w:rsidP="007236AD">
      <w:pPr>
        <w:pStyle w:val="Paragraphestandard"/>
      </w:pPr>
      <w:r w:rsidRPr="005051E2">
        <w:t>Sensor Precision:</w:t>
      </w:r>
      <w:r>
        <w:t xml:space="preserve"> ~5% RSD</w:t>
      </w:r>
      <w:r w:rsidR="00E55F89">
        <w:t>.</w:t>
      </w:r>
    </w:p>
    <w:p w:rsidR="00E55F89" w:rsidRPr="00E55F89" w:rsidRDefault="00C0277B" w:rsidP="007236AD">
      <w:pPr>
        <w:pStyle w:val="Titre3"/>
      </w:pPr>
      <w:r w:rsidRPr="00C0277B">
        <w:t>Total FA concentrations, neutral and polar FA concentrations, FA classes (SAFA, BACT, PUFA, MUFA) concentrations, EPA (20:5n-3) and DHA (22:6n-3)</w:t>
      </w:r>
    </w:p>
    <w:p w:rsidR="00E55F89" w:rsidRPr="00E55F89" w:rsidRDefault="00E55F89" w:rsidP="007236AD">
      <w:pPr>
        <w:pStyle w:val="Paragraphestandard"/>
      </w:pPr>
      <w:r w:rsidRPr="00E55F89">
        <w:rPr>
          <w:snapToGrid w:val="0"/>
        </w:rPr>
        <w:t xml:space="preserve">Subsamples of </w:t>
      </w:r>
      <w:r>
        <w:rPr>
          <w:snapToGrid w:val="0"/>
        </w:rPr>
        <w:t>all size fractions will be processed for lipid analysis. The procedure will include l</w:t>
      </w:r>
      <w:r w:rsidRPr="00E55F89">
        <w:rPr>
          <w:snapToGrid w:val="0"/>
        </w:rPr>
        <w:t xml:space="preserve">ipid class division, transmethylation and analysis by gaz chromatography </w:t>
      </w:r>
      <w:r>
        <w:rPr>
          <w:snapToGrid w:val="0"/>
        </w:rPr>
        <w:t>(GC-FID and GC-MS) (</w:t>
      </w:r>
      <w:r w:rsidRPr="00E55F89">
        <w:rPr>
          <w:snapToGrid w:val="0"/>
        </w:rPr>
        <w:t xml:space="preserve">Soudant </w:t>
      </w:r>
      <w:r w:rsidRPr="00E55F89">
        <w:rPr>
          <w:i/>
          <w:snapToGrid w:val="0"/>
        </w:rPr>
        <w:t>et al.</w:t>
      </w:r>
      <w:r w:rsidRPr="00E55F89">
        <w:rPr>
          <w:snapToGrid w:val="0"/>
        </w:rPr>
        <w:t>, 1999)</w:t>
      </w:r>
      <w:r>
        <w:rPr>
          <w:snapToGrid w:val="0"/>
        </w:rPr>
        <w:t>.</w:t>
      </w:r>
    </w:p>
    <w:p w:rsidR="007236AD" w:rsidRDefault="007236AD" w:rsidP="005E71B5">
      <w:pPr>
        <w:pStyle w:val="Titre2"/>
        <w:pageBreakBefore/>
      </w:pPr>
      <w:r>
        <w:lastRenderedPageBreak/>
        <w:t>Units</w:t>
      </w:r>
    </w:p>
    <w:p w:rsidR="007236AD" w:rsidRPr="007236AD" w:rsidRDefault="007236AD" w:rsidP="00C0277B">
      <w:pPr>
        <w:pStyle w:val="Paragraphedeliste"/>
        <w:tabs>
          <w:tab w:val="clear" w:pos="3969"/>
          <w:tab w:val="left" w:pos="4253"/>
        </w:tabs>
        <w:rPr>
          <w:lang w:val="en-GB"/>
        </w:rPr>
      </w:pPr>
      <w:r w:rsidRPr="00EC635F">
        <w:t>POC</w:t>
      </w:r>
      <w:r w:rsidRPr="007236AD">
        <w:tab/>
        <w:t>µmol C L</w:t>
      </w:r>
      <w:r w:rsidRPr="007236AD">
        <w:rPr>
          <w:vertAlign w:val="superscript"/>
        </w:rPr>
        <w:t>–1</w:t>
      </w:r>
    </w:p>
    <w:p w:rsidR="007236AD" w:rsidRPr="007236AD" w:rsidRDefault="007236AD" w:rsidP="00C0277B">
      <w:pPr>
        <w:pStyle w:val="Paragraphedeliste"/>
        <w:tabs>
          <w:tab w:val="clear" w:pos="3969"/>
          <w:tab w:val="left" w:pos="4253"/>
        </w:tabs>
        <w:rPr>
          <w:lang w:val="en-GB"/>
        </w:rPr>
      </w:pPr>
      <w:r w:rsidRPr="007236AD">
        <w:t>PON</w:t>
      </w:r>
      <w:r w:rsidRPr="007236AD">
        <w:tab/>
        <w:t>µmol N L</w:t>
      </w:r>
      <w:r w:rsidRPr="007236AD">
        <w:rPr>
          <w:vertAlign w:val="superscript"/>
        </w:rPr>
        <w:t>–1</w:t>
      </w:r>
      <w:r w:rsidRPr="007236AD">
        <w:t xml:space="preserve">  </w:t>
      </w:r>
    </w:p>
    <w:p w:rsidR="007236AD" w:rsidRPr="007236AD" w:rsidRDefault="007236AD" w:rsidP="00C0277B">
      <w:pPr>
        <w:pStyle w:val="Paragraphedeliste"/>
        <w:tabs>
          <w:tab w:val="clear" w:pos="3969"/>
          <w:tab w:val="left" w:pos="4253"/>
        </w:tabs>
        <w:rPr>
          <w:lang w:val="en-GB"/>
        </w:rPr>
      </w:pPr>
      <w:r w:rsidRPr="007236AD">
        <w:t>δ</w:t>
      </w:r>
      <w:r w:rsidRPr="007236AD">
        <w:rPr>
          <w:vertAlign w:val="superscript"/>
        </w:rPr>
        <w:t>13</w:t>
      </w:r>
      <w:r w:rsidRPr="007236AD">
        <w:t>C</w:t>
      </w:r>
      <w:r>
        <w:tab/>
      </w:r>
      <w:r w:rsidRPr="007236AD">
        <w:t>‰ versus PDB</w:t>
      </w:r>
    </w:p>
    <w:p w:rsidR="007236AD" w:rsidRPr="007236AD" w:rsidRDefault="007236AD" w:rsidP="00C0277B">
      <w:pPr>
        <w:pStyle w:val="Paragraphedeliste"/>
        <w:tabs>
          <w:tab w:val="clear" w:pos="3969"/>
          <w:tab w:val="left" w:pos="4253"/>
        </w:tabs>
        <w:rPr>
          <w:lang w:val="en-GB"/>
        </w:rPr>
      </w:pPr>
      <w:r w:rsidRPr="007236AD">
        <w:t>δ</w:t>
      </w:r>
      <w:r w:rsidRPr="007236AD">
        <w:rPr>
          <w:vertAlign w:val="superscript"/>
        </w:rPr>
        <w:t>15</w:t>
      </w:r>
      <w:r w:rsidRPr="007236AD">
        <w:t>N</w:t>
      </w:r>
      <w:r>
        <w:tab/>
      </w:r>
      <w:r w:rsidRPr="007236AD">
        <w:t>‰ versus atmospheric N</w:t>
      </w:r>
      <w:r w:rsidRPr="007236AD">
        <w:rPr>
          <w:vertAlign w:val="subscript"/>
        </w:rPr>
        <w:t>2</w:t>
      </w:r>
    </w:p>
    <w:p w:rsidR="007236AD" w:rsidRPr="00B0111D" w:rsidRDefault="007236AD" w:rsidP="00C0277B">
      <w:pPr>
        <w:pStyle w:val="Paragraphedeliste"/>
        <w:tabs>
          <w:tab w:val="clear" w:pos="3969"/>
          <w:tab w:val="left" w:pos="4253"/>
        </w:tabs>
        <w:rPr>
          <w:lang w:val="fr-FR"/>
        </w:rPr>
      </w:pPr>
      <w:r w:rsidRPr="00B0111D">
        <w:rPr>
          <w:lang w:val="fr-FR"/>
        </w:rPr>
        <w:t>BSi, LSi</w:t>
      </w:r>
      <w:r w:rsidR="00EC635F" w:rsidRPr="00B0111D">
        <w:rPr>
          <w:lang w:val="fr-FR"/>
        </w:rPr>
        <w:tab/>
        <w:t>µmol Si L</w:t>
      </w:r>
      <w:r w:rsidR="00EC635F" w:rsidRPr="00B0111D">
        <w:rPr>
          <w:vertAlign w:val="superscript"/>
          <w:lang w:val="fr-FR"/>
        </w:rPr>
        <w:t>–1</w:t>
      </w:r>
    </w:p>
    <w:p w:rsidR="007236AD" w:rsidRPr="007236AD" w:rsidRDefault="007236AD" w:rsidP="00C0277B">
      <w:pPr>
        <w:pStyle w:val="Paragraphedeliste"/>
        <w:tabs>
          <w:tab w:val="clear" w:pos="3969"/>
          <w:tab w:val="left" w:pos="4253"/>
        </w:tabs>
        <w:rPr>
          <w:lang w:val="en-GB"/>
        </w:rPr>
      </w:pPr>
      <w:r w:rsidRPr="007236AD">
        <w:t>POP</w:t>
      </w:r>
      <w:r w:rsidR="00EC635F" w:rsidRPr="00EC635F">
        <w:t xml:space="preserve"> </w:t>
      </w:r>
      <w:r w:rsidR="00EC635F">
        <w:tab/>
        <w:t>nmol Si L</w:t>
      </w:r>
      <w:r w:rsidR="00EC635F" w:rsidRPr="00EC635F">
        <w:rPr>
          <w:vertAlign w:val="superscript"/>
        </w:rPr>
        <w:t>–1</w:t>
      </w:r>
    </w:p>
    <w:p w:rsidR="007236AD" w:rsidRPr="00B0111D" w:rsidRDefault="007236AD" w:rsidP="00C0277B">
      <w:pPr>
        <w:pStyle w:val="Paragraphedeliste"/>
        <w:tabs>
          <w:tab w:val="clear" w:pos="3969"/>
          <w:tab w:val="left" w:pos="4253"/>
        </w:tabs>
        <w:rPr>
          <w:lang w:val="fr-FR"/>
        </w:rPr>
      </w:pPr>
      <w:r w:rsidRPr="00B0111D">
        <w:rPr>
          <w:lang w:val="fr-FR"/>
        </w:rPr>
        <w:t>particulate Ca</w:t>
      </w:r>
      <w:r w:rsidR="00EC635F" w:rsidRPr="00B0111D">
        <w:rPr>
          <w:lang w:val="fr-FR"/>
        </w:rPr>
        <w:t xml:space="preserve"> </w:t>
      </w:r>
      <w:r w:rsidR="00EC635F" w:rsidRPr="00B0111D">
        <w:rPr>
          <w:lang w:val="fr-FR"/>
        </w:rPr>
        <w:tab/>
        <w:t>nmol Si L</w:t>
      </w:r>
      <w:r w:rsidR="00EC635F" w:rsidRPr="00B0111D">
        <w:rPr>
          <w:vertAlign w:val="superscript"/>
          <w:lang w:val="fr-FR"/>
        </w:rPr>
        <w:t>–1</w:t>
      </w:r>
    </w:p>
    <w:p w:rsidR="007236AD" w:rsidRPr="00B0111D" w:rsidRDefault="007236AD" w:rsidP="00C0277B">
      <w:pPr>
        <w:pStyle w:val="Paragraphedeliste"/>
        <w:tabs>
          <w:tab w:val="clear" w:pos="3969"/>
          <w:tab w:val="left" w:pos="4253"/>
        </w:tabs>
        <w:rPr>
          <w:lang w:val="fr-FR"/>
        </w:rPr>
      </w:pPr>
      <w:r w:rsidRPr="00B0111D">
        <w:rPr>
          <w:lang w:val="fr-FR"/>
        </w:rPr>
        <w:t>particulate Na</w:t>
      </w:r>
      <w:r w:rsidR="00EC635F" w:rsidRPr="00B0111D">
        <w:rPr>
          <w:lang w:val="fr-FR"/>
        </w:rPr>
        <w:t xml:space="preserve"> </w:t>
      </w:r>
      <w:r w:rsidR="00EC635F" w:rsidRPr="00B0111D">
        <w:rPr>
          <w:lang w:val="fr-FR"/>
        </w:rPr>
        <w:tab/>
        <w:t>nmol Si L</w:t>
      </w:r>
      <w:r w:rsidR="00EC635F" w:rsidRPr="00B0111D">
        <w:rPr>
          <w:vertAlign w:val="superscript"/>
          <w:lang w:val="fr-FR"/>
        </w:rPr>
        <w:t>–1</w:t>
      </w:r>
    </w:p>
    <w:p w:rsidR="007236AD" w:rsidRPr="00B0111D" w:rsidRDefault="007236AD" w:rsidP="00C0277B">
      <w:pPr>
        <w:pStyle w:val="Paragraphedeliste"/>
        <w:tabs>
          <w:tab w:val="clear" w:pos="3969"/>
          <w:tab w:val="left" w:pos="4253"/>
        </w:tabs>
        <w:rPr>
          <w:lang w:val="fr-FR"/>
        </w:rPr>
      </w:pPr>
      <w:r w:rsidRPr="00B0111D">
        <w:rPr>
          <w:lang w:val="fr-FR"/>
        </w:rPr>
        <w:t>particulate Al</w:t>
      </w:r>
      <w:r w:rsidR="00EC635F" w:rsidRPr="00B0111D">
        <w:rPr>
          <w:lang w:val="fr-FR"/>
        </w:rPr>
        <w:t xml:space="preserve"> </w:t>
      </w:r>
      <w:r w:rsidR="00EC635F" w:rsidRPr="00B0111D">
        <w:rPr>
          <w:lang w:val="fr-FR"/>
        </w:rPr>
        <w:tab/>
        <w:t>nmol Si L</w:t>
      </w:r>
      <w:r w:rsidR="00EC635F" w:rsidRPr="00B0111D">
        <w:rPr>
          <w:vertAlign w:val="superscript"/>
          <w:lang w:val="fr-FR"/>
        </w:rPr>
        <w:t>–1</w:t>
      </w:r>
    </w:p>
    <w:p w:rsidR="007236AD" w:rsidRPr="007236AD" w:rsidRDefault="007236AD" w:rsidP="00C0277B">
      <w:pPr>
        <w:pStyle w:val="Paragraphedeliste"/>
        <w:tabs>
          <w:tab w:val="clear" w:pos="3969"/>
          <w:tab w:val="left" w:pos="4253"/>
        </w:tabs>
        <w:rPr>
          <w:lang w:val="en-GB"/>
        </w:rPr>
      </w:pPr>
      <w:r w:rsidRPr="007236AD">
        <w:t xml:space="preserve">Particulate </w:t>
      </w:r>
      <w:r w:rsidRPr="007236AD">
        <w:rPr>
          <w:vertAlign w:val="superscript"/>
        </w:rPr>
        <w:t>234</w:t>
      </w:r>
      <w:r w:rsidRPr="007236AD">
        <w:t>Th</w:t>
      </w:r>
      <w:r w:rsidR="00EC635F" w:rsidRPr="00EC635F">
        <w:t xml:space="preserve"> </w:t>
      </w:r>
      <w:r w:rsidR="00EC635F">
        <w:tab/>
        <w:t>dpm L</w:t>
      </w:r>
      <w:r w:rsidR="00EC635F" w:rsidRPr="00EC635F">
        <w:rPr>
          <w:vertAlign w:val="superscript"/>
        </w:rPr>
        <w:t>–1</w:t>
      </w:r>
    </w:p>
    <w:p w:rsidR="007236AD" w:rsidRPr="00C0277B" w:rsidRDefault="007236AD" w:rsidP="00C0277B">
      <w:pPr>
        <w:pStyle w:val="Paragraphedeliste"/>
        <w:tabs>
          <w:tab w:val="clear" w:pos="3969"/>
          <w:tab w:val="left" w:pos="4253"/>
        </w:tabs>
        <w:rPr>
          <w:lang w:val="fr-FR"/>
        </w:rPr>
      </w:pPr>
      <w:r w:rsidRPr="00C0277B">
        <w:rPr>
          <w:lang w:val="fr-FR"/>
        </w:rPr>
        <w:t xml:space="preserve">Total </w:t>
      </w:r>
      <w:r w:rsidR="00C0277B" w:rsidRPr="00C0277B">
        <w:rPr>
          <w:lang w:val="fr-FR"/>
        </w:rPr>
        <w:t>FA</w:t>
      </w:r>
      <w:r w:rsidRPr="00C0277B">
        <w:rPr>
          <w:lang w:val="fr-FR"/>
        </w:rPr>
        <w:t xml:space="preserve"> </w:t>
      </w:r>
      <w:r w:rsidR="00C0277B">
        <w:t>concentration</w:t>
      </w:r>
      <w:r w:rsidR="00EC635F" w:rsidRPr="00C0277B">
        <w:rPr>
          <w:lang w:val="fr-FR"/>
        </w:rPr>
        <w:tab/>
        <w:t>ng/L</w:t>
      </w:r>
    </w:p>
    <w:p w:rsidR="007236AD" w:rsidRPr="007236AD" w:rsidRDefault="007236AD" w:rsidP="00C0277B">
      <w:pPr>
        <w:pStyle w:val="Paragraphedeliste"/>
        <w:tabs>
          <w:tab w:val="clear" w:pos="3969"/>
          <w:tab w:val="left" w:pos="4253"/>
        </w:tabs>
      </w:pPr>
      <w:r w:rsidRPr="007236AD">
        <w:t xml:space="preserve">Neutral and polar </w:t>
      </w:r>
      <w:r w:rsidR="00C0277B">
        <w:t>FA</w:t>
      </w:r>
      <w:r w:rsidRPr="007236AD">
        <w:t xml:space="preserve"> </w:t>
      </w:r>
      <w:r w:rsidR="00C0277B" w:rsidRPr="00C0277B">
        <w:t>concentrations</w:t>
      </w:r>
      <w:r w:rsidR="00EC635F">
        <w:tab/>
      </w:r>
      <w:r w:rsidR="00EC635F" w:rsidRPr="00EC635F">
        <w:t>ng/L</w:t>
      </w:r>
    </w:p>
    <w:p w:rsidR="007236AD" w:rsidRPr="007236AD" w:rsidRDefault="007236AD" w:rsidP="00C0277B">
      <w:pPr>
        <w:pStyle w:val="Paragraphedeliste"/>
        <w:tabs>
          <w:tab w:val="clear" w:pos="3969"/>
          <w:tab w:val="left" w:pos="4253"/>
        </w:tabs>
        <w:rPr>
          <w:lang w:val="fr-FR"/>
        </w:rPr>
      </w:pPr>
      <w:r>
        <w:t>20:5n-3 (EPA) &amp; 22:6n-3 (DHA)</w:t>
      </w:r>
      <w:r w:rsidR="00EC635F" w:rsidRPr="00EC635F">
        <w:rPr>
          <w:lang w:val="en-GB"/>
        </w:rPr>
        <w:t xml:space="preserve"> </w:t>
      </w:r>
      <w:r w:rsidR="00EC635F">
        <w:rPr>
          <w:lang w:val="en-GB"/>
        </w:rPr>
        <w:tab/>
      </w:r>
      <w:r w:rsidR="00EC635F" w:rsidRPr="00EC635F">
        <w:rPr>
          <w:lang w:val="en-GB"/>
        </w:rPr>
        <w:t>ng/L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BF01D7" w:rsidRPr="00BF01D7" w:rsidRDefault="00BF01D7" w:rsidP="00EC635F">
      <w:pPr>
        <w:pStyle w:val="Paragraphestandard"/>
      </w:pPr>
      <w:r w:rsidRPr="00BF01D7">
        <w:t xml:space="preserve">All samples will be re-counted after a delay of six </w:t>
      </w:r>
      <w:r w:rsidR="00EC635F" w:rsidRPr="00E427E3">
        <w:rPr>
          <w:vertAlign w:val="superscript"/>
        </w:rPr>
        <w:t>234</w:t>
      </w:r>
      <w:r w:rsidR="00EC635F" w:rsidRPr="00E427E3">
        <w:t>Th</w:t>
      </w:r>
      <w:r w:rsidR="00EC635F">
        <w:t xml:space="preserve"> </w:t>
      </w:r>
      <w:r w:rsidRPr="00BF01D7">
        <w:t xml:space="preserve">half-lifes after sampling in order to correct for any residual beta activity due to </w:t>
      </w:r>
      <w:r w:rsidR="00EC635F" w:rsidRPr="00BF01D7">
        <w:t>beta emitter</w:t>
      </w:r>
      <w:r w:rsidR="00EC635F">
        <w:t>s</w:t>
      </w:r>
      <w:r w:rsidR="00EC635F" w:rsidRPr="00BF01D7">
        <w:t xml:space="preserve"> </w:t>
      </w:r>
      <w:r w:rsidRPr="00BF01D7">
        <w:t xml:space="preserve">longer than </w:t>
      </w:r>
      <w:r w:rsidR="00EC635F" w:rsidRPr="00E427E3">
        <w:rPr>
          <w:vertAlign w:val="superscript"/>
        </w:rPr>
        <w:t>234</w:t>
      </w:r>
      <w:r w:rsidR="00EC635F" w:rsidRPr="00E427E3">
        <w:t>Th</w:t>
      </w:r>
      <w:r w:rsidRPr="00BF01D7">
        <w:t>. This will be performed at the home laboratory from September 2018.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F37334" w:rsidRPr="00F37334" w:rsidRDefault="00F37334" w:rsidP="00EC635F">
      <w:pPr>
        <w:pStyle w:val="Paragraphestandard"/>
      </w:pPr>
      <w:r w:rsidRPr="00F37334">
        <w:t>Analysis of particulate samples is expected to be done during 2019. The final database will be available by the end of 2019.</w:t>
      </w:r>
    </w:p>
    <w:p w:rsidR="00AE2BD6" w:rsidRPr="002E402F" w:rsidRDefault="00D0498F" w:rsidP="00D0498F">
      <w:pPr>
        <w:pStyle w:val="Titre1"/>
        <w:rPr>
          <w:lang w:val="en-US"/>
        </w:rPr>
      </w:pPr>
      <w:r w:rsidRPr="00F56736">
        <w:rPr>
          <w:lang w:val="en-US"/>
        </w:rPr>
        <w:t>BIBLI</w:t>
      </w:r>
      <w:r w:rsidRPr="002E402F">
        <w:rPr>
          <w:lang w:val="en-US"/>
        </w:rPr>
        <w:t>OGRAPHY</w:t>
      </w:r>
    </w:p>
    <w:p w:rsidR="00BF01D7" w:rsidRPr="00B0111D" w:rsidRDefault="00BF01D7" w:rsidP="00EC635F">
      <w:pPr>
        <w:pStyle w:val="Bibliographie"/>
      </w:pPr>
      <w:r w:rsidRPr="00B0111D">
        <w:t>Planchon F., Cavagna A.J., Cardinal D., André L.</w:t>
      </w:r>
      <w:r w:rsidR="00FB4374" w:rsidRPr="00B0111D">
        <w:t>,</w:t>
      </w:r>
      <w:r w:rsidRPr="00B0111D">
        <w:t xml:space="preserve"> Dehairs F.</w:t>
      </w:r>
      <w:r w:rsidR="00FB4374" w:rsidRPr="00B0111D">
        <w:t>, 2013.</w:t>
      </w:r>
      <w:r w:rsidRPr="00B0111D">
        <w:t xml:space="preserve"> </w:t>
      </w:r>
      <w:r w:rsidRPr="00FB4374">
        <w:rPr>
          <w:lang w:val="en-US"/>
        </w:rPr>
        <w:t xml:space="preserve">Late summer particulate organic carbon export and twilight zone remineralisation in the Atlantic sector of the Southern Ocean. </w:t>
      </w:r>
      <w:r w:rsidRPr="00B0111D">
        <w:rPr>
          <w:i/>
        </w:rPr>
        <w:t>Biogeosciences</w:t>
      </w:r>
      <w:r w:rsidR="00FB4374" w:rsidRPr="00B0111D">
        <w:t>,</w:t>
      </w:r>
      <w:r w:rsidRPr="00B0111D">
        <w:t xml:space="preserve"> </w:t>
      </w:r>
      <w:r w:rsidRPr="00B0111D">
        <w:rPr>
          <w:b/>
        </w:rPr>
        <w:t>10</w:t>
      </w:r>
      <w:r w:rsidRPr="00B0111D">
        <w:t>, 803-820.</w:t>
      </w:r>
    </w:p>
    <w:p w:rsidR="00BF01D7" w:rsidRPr="00FB4374" w:rsidRDefault="00BF01D7" w:rsidP="00EC635F">
      <w:pPr>
        <w:pStyle w:val="Bibliographie"/>
        <w:rPr>
          <w:lang w:val="en-US"/>
        </w:rPr>
      </w:pPr>
      <w:r w:rsidRPr="00FB4374">
        <w:t>Ragueneau O., Savoye N., Del Amo Y., CottenJ., Tardiveau B</w:t>
      </w:r>
      <w:r w:rsidR="00FB4374" w:rsidRPr="00FB4374">
        <w:t>.,</w:t>
      </w:r>
      <w:r w:rsidRPr="00FB4374">
        <w:t xml:space="preserve"> Leynaert A.</w:t>
      </w:r>
      <w:r w:rsidR="00FB4374" w:rsidRPr="00FB4374">
        <w:t xml:space="preserve">, </w:t>
      </w:r>
      <w:r w:rsidRPr="00FB4374">
        <w:t>2005</w:t>
      </w:r>
      <w:r w:rsidR="00FB4374" w:rsidRPr="00FB4374">
        <w:t>.</w:t>
      </w:r>
      <w:r w:rsidRPr="00FB4374">
        <w:t xml:space="preserve"> </w:t>
      </w:r>
      <w:r w:rsidRPr="00FB4374">
        <w:rPr>
          <w:lang w:val="en-US"/>
        </w:rPr>
        <w:t xml:space="preserve">A new method for the measurement of biogenic silica in suspended matter of coastal waters: using Si:Al ratios to correct for the mineral interference. </w:t>
      </w:r>
      <w:r w:rsidRPr="00FB4374">
        <w:rPr>
          <w:i/>
          <w:lang w:val="en-US"/>
        </w:rPr>
        <w:t>Continental Shelf Research</w:t>
      </w:r>
      <w:r w:rsidR="00FB4374" w:rsidRPr="00FB4374">
        <w:rPr>
          <w:lang w:val="en-US"/>
        </w:rPr>
        <w:t>,</w:t>
      </w:r>
      <w:r w:rsidRPr="00FB4374">
        <w:rPr>
          <w:lang w:val="en-US"/>
        </w:rPr>
        <w:t xml:space="preserve"> </w:t>
      </w:r>
      <w:r w:rsidRPr="00FB4374">
        <w:rPr>
          <w:b/>
          <w:lang w:val="en-US"/>
        </w:rPr>
        <w:t>25</w:t>
      </w:r>
      <w:r w:rsidRPr="00FB4374">
        <w:rPr>
          <w:lang w:val="en-US"/>
        </w:rPr>
        <w:t>, 697-710.</w:t>
      </w:r>
    </w:p>
    <w:p w:rsidR="00C74F81" w:rsidRPr="00FB4374" w:rsidRDefault="00BF01D7" w:rsidP="00EC635F">
      <w:pPr>
        <w:pStyle w:val="Bibliographie"/>
        <w:rPr>
          <w:lang w:val="en-US"/>
        </w:rPr>
      </w:pPr>
      <w:r w:rsidRPr="00FB4374">
        <w:rPr>
          <w:lang w:val="en-US"/>
        </w:rPr>
        <w:t>Cardinal D., Dehairs F., Cattaldo</w:t>
      </w:r>
      <w:r w:rsidR="00FB4374">
        <w:rPr>
          <w:lang w:val="en-US"/>
        </w:rPr>
        <w:t xml:space="preserve"> T., </w:t>
      </w:r>
      <w:r w:rsidRPr="00FB4374">
        <w:rPr>
          <w:lang w:val="en-US"/>
        </w:rPr>
        <w:t>André L.</w:t>
      </w:r>
      <w:r w:rsidR="00FB4374">
        <w:rPr>
          <w:lang w:val="en-US"/>
        </w:rPr>
        <w:t xml:space="preserve">, </w:t>
      </w:r>
      <w:r w:rsidRPr="00FB4374">
        <w:rPr>
          <w:lang w:val="en-US"/>
        </w:rPr>
        <w:t>2</w:t>
      </w:r>
      <w:r w:rsidR="00FB4374">
        <w:rPr>
          <w:lang w:val="en-US"/>
        </w:rPr>
        <w:t>001.</w:t>
      </w:r>
      <w:r w:rsidRPr="00FB4374">
        <w:rPr>
          <w:lang w:val="en-US"/>
        </w:rPr>
        <w:t xml:space="preserve"> Geochemistry of suspended particles in the Subantarctic and Polar Frontal Zones south of Australia: Constraints on export and advection processes. </w:t>
      </w:r>
      <w:r w:rsidR="00FB4374" w:rsidRPr="00FB4374">
        <w:rPr>
          <w:i/>
          <w:lang w:val="en-US"/>
        </w:rPr>
        <w:t>Journal of</w:t>
      </w:r>
      <w:r w:rsidRPr="00FB4374">
        <w:rPr>
          <w:i/>
          <w:lang w:val="en-US"/>
        </w:rPr>
        <w:t xml:space="preserve"> Geophys</w:t>
      </w:r>
      <w:r w:rsidR="00FB4374" w:rsidRPr="00FB4374">
        <w:rPr>
          <w:i/>
          <w:lang w:val="en-US"/>
        </w:rPr>
        <w:t>ical</w:t>
      </w:r>
      <w:r w:rsidRPr="00FB4374">
        <w:rPr>
          <w:i/>
          <w:lang w:val="en-US"/>
        </w:rPr>
        <w:t xml:space="preserve"> Res</w:t>
      </w:r>
      <w:r w:rsidR="00FB4374" w:rsidRPr="00FB4374">
        <w:rPr>
          <w:i/>
          <w:lang w:val="en-US"/>
        </w:rPr>
        <w:t>earch</w:t>
      </w:r>
      <w:r w:rsidR="00FB4374" w:rsidRPr="00FB4374">
        <w:rPr>
          <w:lang w:val="en-US"/>
        </w:rPr>
        <w:t>,</w:t>
      </w:r>
      <w:r w:rsidRPr="00FB4374">
        <w:rPr>
          <w:lang w:val="en-US"/>
        </w:rPr>
        <w:t xml:space="preserve"> </w:t>
      </w:r>
      <w:r w:rsidRPr="00FB4374">
        <w:rPr>
          <w:b/>
          <w:lang w:val="en-US"/>
        </w:rPr>
        <w:t>106</w:t>
      </w:r>
      <w:r w:rsidRPr="00FB4374">
        <w:rPr>
          <w:lang w:val="en-US"/>
        </w:rPr>
        <w:t>, 31637-31656.</w:t>
      </w:r>
    </w:p>
    <w:p w:rsidR="00E55F89" w:rsidRPr="00E55F89" w:rsidRDefault="00E55F89" w:rsidP="00EC635F">
      <w:pPr>
        <w:pStyle w:val="Bibliographie"/>
        <w:rPr>
          <w:lang w:val="en-US"/>
        </w:rPr>
      </w:pPr>
      <w:r w:rsidRPr="00FB4374">
        <w:rPr>
          <w:lang w:val="en-US"/>
        </w:rPr>
        <w:t>Soudant</w:t>
      </w:r>
      <w:r w:rsidR="00FB4374" w:rsidRPr="00FB4374">
        <w:rPr>
          <w:lang w:val="en-US"/>
        </w:rPr>
        <w:t xml:space="preserve"> P.</w:t>
      </w:r>
      <w:r w:rsidRPr="00FB4374">
        <w:rPr>
          <w:lang w:val="en-US"/>
        </w:rPr>
        <w:t>, Ryckeghem</w:t>
      </w:r>
      <w:r w:rsidR="00FB4374" w:rsidRPr="00FB4374">
        <w:rPr>
          <w:lang w:val="en-US"/>
        </w:rPr>
        <w:t xml:space="preserve"> K.V.</w:t>
      </w:r>
      <w:r w:rsidRPr="00FB4374">
        <w:rPr>
          <w:lang w:val="en-US"/>
        </w:rPr>
        <w:t>, Marty</w:t>
      </w:r>
      <w:r w:rsidR="00FB4374" w:rsidRPr="00FB4374">
        <w:rPr>
          <w:lang w:val="en-US"/>
        </w:rPr>
        <w:t xml:space="preserve"> Y.</w:t>
      </w:r>
      <w:r w:rsidRPr="00FB4374">
        <w:rPr>
          <w:lang w:val="en-US"/>
        </w:rPr>
        <w:t>, Moal</w:t>
      </w:r>
      <w:r w:rsidR="00FB4374" w:rsidRPr="00FB4374">
        <w:rPr>
          <w:lang w:val="en-US"/>
        </w:rPr>
        <w:t xml:space="preserve"> J.</w:t>
      </w:r>
      <w:r w:rsidRPr="00FB4374">
        <w:rPr>
          <w:lang w:val="en-US"/>
        </w:rPr>
        <w:t>, Samain</w:t>
      </w:r>
      <w:r w:rsidR="00FB4374" w:rsidRPr="00FB4374">
        <w:rPr>
          <w:lang w:val="en-US"/>
        </w:rPr>
        <w:t xml:space="preserve"> J.F.</w:t>
      </w:r>
      <w:r w:rsidRPr="00FB4374">
        <w:rPr>
          <w:lang w:val="en-US"/>
        </w:rPr>
        <w:t>, Sorgeloos</w:t>
      </w:r>
      <w:r w:rsidR="00FB4374" w:rsidRPr="00FB4374">
        <w:rPr>
          <w:lang w:val="en-US"/>
        </w:rPr>
        <w:t xml:space="preserve"> P.</w:t>
      </w:r>
      <w:r w:rsidRPr="00FB4374">
        <w:rPr>
          <w:lang w:val="en-US"/>
        </w:rPr>
        <w:t xml:space="preserve">, </w:t>
      </w:r>
      <w:r w:rsidR="00FB4374" w:rsidRPr="00E55F89">
        <w:rPr>
          <w:lang w:val="en-US"/>
        </w:rPr>
        <w:t>1999</w:t>
      </w:r>
      <w:r w:rsidR="00FB4374">
        <w:rPr>
          <w:lang w:val="en-US"/>
        </w:rPr>
        <w:t xml:space="preserve">. </w:t>
      </w:r>
      <w:r w:rsidRPr="00FB4374">
        <w:rPr>
          <w:lang w:val="en-US"/>
        </w:rPr>
        <w:t xml:space="preserve">Comparison of the lipid class and fatty acid composition between a reproductive cycle in the nature and a standart hatchery conditioning of the Pacific Oyster </w:t>
      </w:r>
      <w:r w:rsidRPr="00FB4374">
        <w:rPr>
          <w:i/>
          <w:lang w:val="en-US"/>
        </w:rPr>
        <w:t>Crassostrea gigas</w:t>
      </w:r>
      <w:r w:rsidR="00FB4374">
        <w:rPr>
          <w:lang w:val="en-US"/>
        </w:rPr>
        <w:t xml:space="preserve">. </w:t>
      </w:r>
      <w:r w:rsidR="00FB4374" w:rsidRPr="00FB4374">
        <w:rPr>
          <w:i/>
          <w:lang w:val="en-US"/>
        </w:rPr>
        <w:t>Comparati</w:t>
      </w:r>
      <w:r w:rsidR="00FB4374">
        <w:rPr>
          <w:i/>
          <w:lang w:val="en-US"/>
        </w:rPr>
        <w:t>v</w:t>
      </w:r>
      <w:r w:rsidR="00FB4374" w:rsidRPr="00FB4374">
        <w:rPr>
          <w:i/>
          <w:lang w:val="en-US"/>
        </w:rPr>
        <w:t>e</w:t>
      </w:r>
      <w:r w:rsidRPr="00FB4374">
        <w:rPr>
          <w:i/>
          <w:lang w:val="en-US"/>
        </w:rPr>
        <w:t xml:space="preserve"> Biochem</w:t>
      </w:r>
      <w:r w:rsidR="00FB4374" w:rsidRPr="00FB4374">
        <w:rPr>
          <w:i/>
          <w:lang w:val="en-US"/>
        </w:rPr>
        <w:t>istry and</w:t>
      </w:r>
      <w:r w:rsidRPr="00FB4374">
        <w:rPr>
          <w:i/>
          <w:lang w:val="en-US"/>
        </w:rPr>
        <w:t xml:space="preserve"> Physiol</w:t>
      </w:r>
      <w:r w:rsidR="00FB4374" w:rsidRPr="00FB4374">
        <w:rPr>
          <w:i/>
          <w:lang w:val="en-US"/>
        </w:rPr>
        <w:t>ogy</w:t>
      </w:r>
      <w:r w:rsidRPr="00FB4374">
        <w:rPr>
          <w:i/>
          <w:lang w:val="en-US"/>
        </w:rPr>
        <w:t xml:space="preserve"> B</w:t>
      </w:r>
      <w:r w:rsidR="00FB4374">
        <w:rPr>
          <w:lang w:val="en-US"/>
        </w:rPr>
        <w:t>,</w:t>
      </w:r>
      <w:r w:rsidRPr="00E55F89">
        <w:rPr>
          <w:lang w:val="en-US"/>
        </w:rPr>
        <w:t xml:space="preserve"> </w:t>
      </w:r>
      <w:r w:rsidRPr="00FB4374">
        <w:rPr>
          <w:b/>
          <w:lang w:val="en-US"/>
        </w:rPr>
        <w:t>123</w:t>
      </w:r>
      <w:r w:rsidR="00FB4374">
        <w:rPr>
          <w:lang w:val="en-US"/>
        </w:rPr>
        <w:t>,209–222,</w:t>
      </w:r>
      <w:r w:rsidR="00FB4374">
        <w:rPr>
          <w:lang w:val="en-US"/>
        </w:rPr>
        <w:tab/>
        <w:t xml:space="preserve"> </w:t>
      </w:r>
      <w:hyperlink r:id="rId11" w:history="1">
        <w:r w:rsidR="00FB4374" w:rsidRPr="00C815FC">
          <w:rPr>
            <w:rStyle w:val="Lienhypertexte"/>
            <w:lang w:val="en-US"/>
          </w:rPr>
          <w:t>http://dx.doi.org/10.1016/S0305-0491(99)00063-2</w:t>
        </w:r>
      </w:hyperlink>
      <w:r w:rsidRPr="00E55F89">
        <w:rPr>
          <w:lang w:val="en-US"/>
        </w:rPr>
        <w:t>.</w:t>
      </w:r>
    </w:p>
    <w:p w:rsidR="007A0AF9" w:rsidRPr="00E55F89" w:rsidRDefault="007A0AF9" w:rsidP="007A0AF9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sectPr w:rsidR="007A0AF9" w:rsidRPr="00E55F89" w:rsidSect="005E71B5">
      <w:headerReference w:type="first" r:id="rId12"/>
      <w:pgSz w:w="11900" w:h="16840"/>
      <w:pgMar w:top="1274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FB3" w:rsidRDefault="00240FB3" w:rsidP="001400EB">
      <w:r>
        <w:separator/>
      </w:r>
    </w:p>
  </w:endnote>
  <w:endnote w:type="continuationSeparator" w:id="0">
    <w:p w:rsidR="00240FB3" w:rsidRDefault="00240FB3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FB3" w:rsidRDefault="00240FB3" w:rsidP="001400EB">
      <w:r>
        <w:separator/>
      </w:r>
    </w:p>
  </w:footnote>
  <w:footnote w:type="continuationSeparator" w:id="0">
    <w:p w:rsidR="00240FB3" w:rsidRDefault="00240FB3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5E71B5" w:rsidTr="00062451">
      <w:trPr>
        <w:trHeight w:val="867"/>
      </w:trPr>
      <w:tc>
        <w:tcPr>
          <w:tcW w:w="1287" w:type="dxa"/>
          <w:vAlign w:val="center"/>
        </w:tcPr>
        <w:p w:rsidR="005E71B5" w:rsidRDefault="005E71B5" w:rsidP="00751E33">
          <w:r>
            <w:rPr>
              <w:noProof/>
              <w:lang w:val="en-US"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5E71B5" w:rsidRPr="001400EB" w:rsidRDefault="005E71B5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5E71B5" w:rsidRDefault="005E71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306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A4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D23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2EFE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BCE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E3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642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E4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08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C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A2C18"/>
    <w:multiLevelType w:val="hybridMultilevel"/>
    <w:tmpl w:val="8B12A9C8"/>
    <w:lvl w:ilvl="0" w:tplc="DD62A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06157"/>
    <w:multiLevelType w:val="hybridMultilevel"/>
    <w:tmpl w:val="5EA2D0B0"/>
    <w:lvl w:ilvl="0" w:tplc="7818B6A0">
      <w:start w:val="1"/>
      <w:numFmt w:val="bullet"/>
      <w:pStyle w:val="Paragraphedeliste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F79F2"/>
    <w:multiLevelType w:val="hybridMultilevel"/>
    <w:tmpl w:val="7680AA02"/>
    <w:lvl w:ilvl="0" w:tplc="BC6277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AE0326"/>
    <w:multiLevelType w:val="multilevel"/>
    <w:tmpl w:val="15F82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32D82"/>
    <w:multiLevelType w:val="multilevel"/>
    <w:tmpl w:val="075EF5E8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53EC0"/>
    <w:multiLevelType w:val="hybridMultilevel"/>
    <w:tmpl w:val="075EF5E8"/>
    <w:lvl w:ilvl="0" w:tplc="CE9E26F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6C5ED0"/>
    <w:multiLevelType w:val="hybridMultilevel"/>
    <w:tmpl w:val="61485DEC"/>
    <w:numStyleLink w:val="Numbered"/>
  </w:abstractNum>
  <w:abstractNum w:abstractNumId="23" w15:restartNumberingAfterBreak="0">
    <w:nsid w:val="6A173814"/>
    <w:multiLevelType w:val="hybridMultilevel"/>
    <w:tmpl w:val="605ADEB8"/>
    <w:lvl w:ilvl="0" w:tplc="EF5A0C2E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B5EB5"/>
    <w:multiLevelType w:val="hybridMultilevel"/>
    <w:tmpl w:val="15F82422"/>
    <w:lvl w:ilvl="0" w:tplc="A63AA0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D4D58"/>
    <w:multiLevelType w:val="hybridMultilevel"/>
    <w:tmpl w:val="F01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21"/>
  </w:num>
  <w:num w:numId="5">
    <w:abstractNumId w:val="17"/>
  </w:num>
  <w:num w:numId="6">
    <w:abstractNumId w:val="16"/>
  </w:num>
  <w:num w:numId="7">
    <w:abstractNumId w:val="15"/>
  </w:num>
  <w:num w:numId="8">
    <w:abstractNumId w:val="22"/>
  </w:num>
  <w:num w:numId="9">
    <w:abstractNumId w:val="2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24"/>
  </w:num>
  <w:num w:numId="22">
    <w:abstractNumId w:val="20"/>
  </w:num>
  <w:num w:numId="23">
    <w:abstractNumId w:val="19"/>
  </w:num>
  <w:num w:numId="24">
    <w:abstractNumId w:val="11"/>
  </w:num>
  <w:num w:numId="25">
    <w:abstractNumId w:val="14"/>
  </w:num>
  <w:num w:numId="26">
    <w:abstractNumId w:val="18"/>
  </w:num>
  <w:num w:numId="27">
    <w:abstractNumId w:val="2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2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44"/>
    <w:rsid w:val="0002548B"/>
    <w:rsid w:val="00035E50"/>
    <w:rsid w:val="00052731"/>
    <w:rsid w:val="00062451"/>
    <w:rsid w:val="000677D3"/>
    <w:rsid w:val="0007089B"/>
    <w:rsid w:val="00081264"/>
    <w:rsid w:val="0008641A"/>
    <w:rsid w:val="000C6932"/>
    <w:rsid w:val="000D6B56"/>
    <w:rsid w:val="00132D4D"/>
    <w:rsid w:val="001400EB"/>
    <w:rsid w:val="00141642"/>
    <w:rsid w:val="001678F4"/>
    <w:rsid w:val="00196401"/>
    <w:rsid w:val="001B287E"/>
    <w:rsid w:val="001E38F3"/>
    <w:rsid w:val="001E5A3A"/>
    <w:rsid w:val="002065CE"/>
    <w:rsid w:val="0021408A"/>
    <w:rsid w:val="00216E19"/>
    <w:rsid w:val="00232E6B"/>
    <w:rsid w:val="00240FB3"/>
    <w:rsid w:val="002425CB"/>
    <w:rsid w:val="00242833"/>
    <w:rsid w:val="00254C34"/>
    <w:rsid w:val="002734F8"/>
    <w:rsid w:val="002844DF"/>
    <w:rsid w:val="002B29BD"/>
    <w:rsid w:val="002E402F"/>
    <w:rsid w:val="002F506F"/>
    <w:rsid w:val="002F5641"/>
    <w:rsid w:val="00303CF7"/>
    <w:rsid w:val="00326B08"/>
    <w:rsid w:val="00347739"/>
    <w:rsid w:val="0035228D"/>
    <w:rsid w:val="003831ED"/>
    <w:rsid w:val="00386161"/>
    <w:rsid w:val="003A0AD8"/>
    <w:rsid w:val="003A65AD"/>
    <w:rsid w:val="003B4FDF"/>
    <w:rsid w:val="003D6357"/>
    <w:rsid w:val="003F5814"/>
    <w:rsid w:val="00400EB9"/>
    <w:rsid w:val="00420608"/>
    <w:rsid w:val="00430C12"/>
    <w:rsid w:val="0044253E"/>
    <w:rsid w:val="0044423A"/>
    <w:rsid w:val="0046671B"/>
    <w:rsid w:val="004925AB"/>
    <w:rsid w:val="00496457"/>
    <w:rsid w:val="004B0D1C"/>
    <w:rsid w:val="004D1212"/>
    <w:rsid w:val="004E5FB5"/>
    <w:rsid w:val="004F1081"/>
    <w:rsid w:val="004F1AEF"/>
    <w:rsid w:val="005051E2"/>
    <w:rsid w:val="00513493"/>
    <w:rsid w:val="00584177"/>
    <w:rsid w:val="00590B44"/>
    <w:rsid w:val="005A2E54"/>
    <w:rsid w:val="005A6C46"/>
    <w:rsid w:val="005C3343"/>
    <w:rsid w:val="005E71B5"/>
    <w:rsid w:val="0060689A"/>
    <w:rsid w:val="00632E24"/>
    <w:rsid w:val="006367C3"/>
    <w:rsid w:val="0064095B"/>
    <w:rsid w:val="00646016"/>
    <w:rsid w:val="00666C85"/>
    <w:rsid w:val="006A7880"/>
    <w:rsid w:val="006B704D"/>
    <w:rsid w:val="006D2B5E"/>
    <w:rsid w:val="007037DE"/>
    <w:rsid w:val="007057A7"/>
    <w:rsid w:val="007070E7"/>
    <w:rsid w:val="00715D94"/>
    <w:rsid w:val="007236AD"/>
    <w:rsid w:val="00736FDD"/>
    <w:rsid w:val="00751E33"/>
    <w:rsid w:val="00753231"/>
    <w:rsid w:val="00766325"/>
    <w:rsid w:val="00781ABF"/>
    <w:rsid w:val="007963AB"/>
    <w:rsid w:val="007A0AF9"/>
    <w:rsid w:val="007A4584"/>
    <w:rsid w:val="007C7AE3"/>
    <w:rsid w:val="007D6FA3"/>
    <w:rsid w:val="007D7489"/>
    <w:rsid w:val="007F34BC"/>
    <w:rsid w:val="007F6423"/>
    <w:rsid w:val="00800E45"/>
    <w:rsid w:val="00805582"/>
    <w:rsid w:val="008076B9"/>
    <w:rsid w:val="00844DAA"/>
    <w:rsid w:val="00875166"/>
    <w:rsid w:val="00887CC8"/>
    <w:rsid w:val="00894510"/>
    <w:rsid w:val="008953A5"/>
    <w:rsid w:val="008B719F"/>
    <w:rsid w:val="008F78F4"/>
    <w:rsid w:val="00900E02"/>
    <w:rsid w:val="00915616"/>
    <w:rsid w:val="00951B35"/>
    <w:rsid w:val="00953FD9"/>
    <w:rsid w:val="00970104"/>
    <w:rsid w:val="0099018F"/>
    <w:rsid w:val="00995736"/>
    <w:rsid w:val="00A01CC7"/>
    <w:rsid w:val="00A060A3"/>
    <w:rsid w:val="00A10829"/>
    <w:rsid w:val="00A62274"/>
    <w:rsid w:val="00A67CB6"/>
    <w:rsid w:val="00A77D81"/>
    <w:rsid w:val="00A924D0"/>
    <w:rsid w:val="00A96236"/>
    <w:rsid w:val="00A963F4"/>
    <w:rsid w:val="00AB5632"/>
    <w:rsid w:val="00AC0F4E"/>
    <w:rsid w:val="00AC1DA0"/>
    <w:rsid w:val="00AD06F9"/>
    <w:rsid w:val="00AD4DB0"/>
    <w:rsid w:val="00AE1FDF"/>
    <w:rsid w:val="00AE2BD6"/>
    <w:rsid w:val="00B0111D"/>
    <w:rsid w:val="00B65BC0"/>
    <w:rsid w:val="00B954F2"/>
    <w:rsid w:val="00B95F85"/>
    <w:rsid w:val="00BC590D"/>
    <w:rsid w:val="00BD4F8E"/>
    <w:rsid w:val="00BE1040"/>
    <w:rsid w:val="00BF01D7"/>
    <w:rsid w:val="00C00E39"/>
    <w:rsid w:val="00C0277B"/>
    <w:rsid w:val="00C3426E"/>
    <w:rsid w:val="00C35F85"/>
    <w:rsid w:val="00C40929"/>
    <w:rsid w:val="00C44135"/>
    <w:rsid w:val="00C504ED"/>
    <w:rsid w:val="00C54ED5"/>
    <w:rsid w:val="00C67C9E"/>
    <w:rsid w:val="00C74F81"/>
    <w:rsid w:val="00C77444"/>
    <w:rsid w:val="00C85888"/>
    <w:rsid w:val="00CA2C73"/>
    <w:rsid w:val="00CA6C51"/>
    <w:rsid w:val="00CC1115"/>
    <w:rsid w:val="00CC6AF2"/>
    <w:rsid w:val="00CD5C8C"/>
    <w:rsid w:val="00CE0233"/>
    <w:rsid w:val="00CE1B6B"/>
    <w:rsid w:val="00CE2744"/>
    <w:rsid w:val="00CF2832"/>
    <w:rsid w:val="00D002C4"/>
    <w:rsid w:val="00D0498F"/>
    <w:rsid w:val="00D10314"/>
    <w:rsid w:val="00D45156"/>
    <w:rsid w:val="00D45FB3"/>
    <w:rsid w:val="00D74D4F"/>
    <w:rsid w:val="00D95330"/>
    <w:rsid w:val="00DD78A1"/>
    <w:rsid w:val="00DE13B1"/>
    <w:rsid w:val="00E41BBC"/>
    <w:rsid w:val="00E547A0"/>
    <w:rsid w:val="00E55F89"/>
    <w:rsid w:val="00E65D1A"/>
    <w:rsid w:val="00E7382A"/>
    <w:rsid w:val="00E76AE1"/>
    <w:rsid w:val="00E76AFA"/>
    <w:rsid w:val="00E8335F"/>
    <w:rsid w:val="00EA3239"/>
    <w:rsid w:val="00EA73E7"/>
    <w:rsid w:val="00EB3C54"/>
    <w:rsid w:val="00EC4908"/>
    <w:rsid w:val="00EC5D52"/>
    <w:rsid w:val="00EC635F"/>
    <w:rsid w:val="00EE5604"/>
    <w:rsid w:val="00EF2868"/>
    <w:rsid w:val="00F003B2"/>
    <w:rsid w:val="00F37334"/>
    <w:rsid w:val="00F3771F"/>
    <w:rsid w:val="00F41DB0"/>
    <w:rsid w:val="00F41FCC"/>
    <w:rsid w:val="00F5326E"/>
    <w:rsid w:val="00F56736"/>
    <w:rsid w:val="00FB3DF8"/>
    <w:rsid w:val="00FB4374"/>
    <w:rsid w:val="00FB5973"/>
    <w:rsid w:val="00FD1DB7"/>
    <w:rsid w:val="00FE202C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129D743-5422-CA4C-A047-4762C1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F85"/>
  </w:style>
  <w:style w:type="paragraph" w:styleId="Titre1">
    <w:name w:val="heading 1"/>
    <w:basedOn w:val="Normal"/>
    <w:next w:val="Normal"/>
    <w:link w:val="Titre1Car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36AD"/>
    <w:pPr>
      <w:keepNext/>
      <w:keepLines/>
      <w:spacing w:before="240"/>
      <w:outlineLvl w:val="2"/>
    </w:pPr>
    <w:rPr>
      <w:rFonts w:ascii="Arial" w:eastAsiaTheme="majorEastAsia" w:hAnsi="Arial" w:cs="Arial"/>
      <w:b/>
      <w:color w:val="1F3763" w:themeColor="accent1" w:themeShade="7F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01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0608"/>
    <w:rPr>
      <w:color w:val="2A64BB"/>
      <w:u w:val="single"/>
    </w:rPr>
  </w:style>
  <w:style w:type="paragraph" w:styleId="Paragraphedeliste">
    <w:name w:val="List Paragraph"/>
    <w:basedOn w:val="Normal"/>
    <w:uiPriority w:val="34"/>
    <w:qFormat/>
    <w:rsid w:val="00EC635F"/>
    <w:pPr>
      <w:numPr>
        <w:numId w:val="3"/>
      </w:numPr>
      <w:tabs>
        <w:tab w:val="left" w:pos="3969"/>
      </w:tabs>
      <w:spacing w:before="60" w:line="280" w:lineRule="atLeast"/>
    </w:pPr>
    <w:rPr>
      <w:rFonts w:ascii="Arial" w:hAnsi="Arial" w:cs="Arial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303CF7"/>
    <w:pPr>
      <w:spacing w:before="120"/>
      <w:ind w:firstLine="425"/>
      <w:jc w:val="both"/>
    </w:pPr>
    <w:rPr>
      <w:rFonts w:ascii="Arial" w:hAnsi="Arial" w:cs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customStyle="1" w:styleId="style8b">
    <w:name w:val="style8b"/>
    <w:basedOn w:val="Policepardfaut"/>
    <w:rsid w:val="00F3771F"/>
  </w:style>
  <w:style w:type="paragraph" w:styleId="Listepuces">
    <w:name w:val="List Bullet"/>
    <w:basedOn w:val="Normal"/>
    <w:uiPriority w:val="99"/>
    <w:unhideWhenUsed/>
    <w:rsid w:val="00303CF7"/>
    <w:pPr>
      <w:numPr>
        <w:numId w:val="27"/>
      </w:numPr>
      <w:spacing w:before="60"/>
      <w:ind w:left="357" w:hanging="215"/>
      <w:jc w:val="both"/>
    </w:pPr>
    <w:rPr>
      <w:rFonts w:ascii="Arial" w:hAnsi="Arial" w:cs="Arial"/>
      <w:lang w:eastAsia="es-ES_tradnl"/>
    </w:rPr>
  </w:style>
  <w:style w:type="paragraph" w:styleId="Bibliographie">
    <w:name w:val="Bibliography"/>
    <w:basedOn w:val="Normal"/>
    <w:next w:val="Normal"/>
    <w:uiPriority w:val="37"/>
    <w:unhideWhenUsed/>
    <w:rsid w:val="007A0AF9"/>
    <w:pPr>
      <w:spacing w:before="120"/>
      <w:ind w:left="992" w:hanging="992"/>
      <w:jc w:val="both"/>
    </w:pPr>
  </w:style>
  <w:style w:type="table" w:styleId="TableauListe3-Accentuation5">
    <w:name w:val="List Table 3 Accent 5"/>
    <w:basedOn w:val="TableauNormal"/>
    <w:uiPriority w:val="48"/>
    <w:rsid w:val="0075323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BF01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rpsdetexte21">
    <w:name w:val="Corps de texte 21"/>
    <w:basedOn w:val="Normal"/>
    <w:rsid w:val="00BF01D7"/>
    <w:pPr>
      <w:suppressAutoHyphens/>
    </w:pPr>
    <w:rPr>
      <w:rFonts w:ascii="Times New Roman" w:eastAsia="Times New Roman" w:hAnsi="Times New Roman" w:cs="Times New Roman"/>
      <w:i/>
      <w:iCs/>
      <w:szCs w:val="20"/>
      <w:lang w:val="en-GB" w:eastAsia="zh-CN"/>
    </w:rPr>
  </w:style>
  <w:style w:type="character" w:customStyle="1" w:styleId="Titre3Car">
    <w:name w:val="Titre 3 Car"/>
    <w:basedOn w:val="Policepardfaut"/>
    <w:link w:val="Titre3"/>
    <w:uiPriority w:val="9"/>
    <w:rsid w:val="007236AD"/>
    <w:rPr>
      <w:rFonts w:ascii="Arial" w:eastAsiaTheme="majorEastAsia" w:hAnsi="Arial" w:cs="Arial"/>
      <w:b/>
      <w:color w:val="1F3763" w:themeColor="accent1" w:themeShade="7F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FB4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16/S0305-0491(99)00063-2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rederic.planchon@univ-bres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eric.planchon@univ-brest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2061</Words>
  <Characters>11338</Characters>
  <Application>Microsoft Office Word</Application>
  <DocSecurity>0</DocSecurity>
  <Lines>94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9</cp:revision>
  <dcterms:created xsi:type="dcterms:W3CDTF">2018-07-05T09:18:00Z</dcterms:created>
  <dcterms:modified xsi:type="dcterms:W3CDTF">2018-11-20T14:30:00Z</dcterms:modified>
</cp:coreProperties>
</file>