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Titre11"/>
        <w:pBdr>
          <w:top w:val="single" w:sz="4" w:space="1" w:color="000001"/>
          <w:left w:val="single" w:sz="4" w:space="4" w:color="000001"/>
          <w:bottom w:val="single" w:sz="4" w:space="1" w:color="000001"/>
          <w:right w:val="single" w:sz="4" w:space="4" w:color="000001"/>
        </w:pBdr>
        <w:rPr>
          <w:rFonts w:cs="Arial" w:ascii="Arial" w:hAnsi="Arial"/>
          <w:sz w:val="28"/>
        </w:rPr>
      </w:pPr>
      <w:r>
        <w:rPr>
          <w:rFonts w:cs="Arial" w:ascii="Arial" w:hAnsi="Arial"/>
          <w:sz w:val="28"/>
        </w:rPr>
        <w:t>0</w:t>
      </w:r>
      <w:r>
        <w:rPr>
          <w:rFonts w:cs="Arial" w:ascii="Arial" w:hAnsi="Arial"/>
          <w:sz w:val="28"/>
        </w:rPr>
        <w:t>FICHE</w:t>
      </w:r>
      <w:r>
        <w:rPr>
          <w:rFonts w:eastAsia="Arial" w:cs="Arial" w:ascii="Arial" w:hAnsi="Arial"/>
          <w:sz w:val="28"/>
        </w:rPr>
        <w:t xml:space="preserve">  </w:t>
      </w:r>
      <w:r>
        <w:rPr>
          <w:rFonts w:cs="Arial" w:ascii="Arial" w:hAnsi="Arial"/>
          <w:sz w:val="28"/>
        </w:rPr>
        <w:t>META_INFORMATION_PARAMETRES</w:t>
      </w:r>
    </w:p>
    <w:p>
      <w:pPr>
        <w:pStyle w:val="Titre11"/>
        <w:pBdr>
          <w:top w:val="single" w:sz="4" w:space="1" w:color="000001"/>
          <w:left w:val="single" w:sz="4" w:space="4" w:color="000001"/>
          <w:bottom w:val="single" w:sz="4" w:space="1" w:color="000001"/>
          <w:right w:val="single" w:sz="4" w:space="4" w:color="000001"/>
        </w:pBdr>
        <w:rPr>
          <w:rFonts w:cs="Arial" w:ascii="Arial" w:hAnsi="Arial"/>
        </w:rPr>
      </w:pPr>
      <w:r>
        <w:rPr>
          <w:rFonts w:cs="Arial" w:ascii="Arial" w:hAnsi="Arial"/>
        </w:rPr>
        <w:t>(à</w:t>
      </w:r>
      <w:r>
        <w:rPr>
          <w:rFonts w:eastAsia="Arial" w:cs="Arial" w:ascii="Arial" w:hAnsi="Arial"/>
        </w:rPr>
        <w:t xml:space="preserve"> </w:t>
      </w:r>
      <w:r>
        <w:rPr>
          <w:rFonts w:cs="Arial" w:ascii="Arial" w:hAnsi="Arial"/>
        </w:rPr>
        <w:t>remplir</w:t>
      </w:r>
      <w:r>
        <w:rPr>
          <w:rFonts w:eastAsia="Arial" w:cs="Arial" w:ascii="Arial" w:hAnsi="Arial"/>
        </w:rPr>
        <w:t xml:space="preserve"> </w:t>
      </w:r>
      <w:r>
        <w:rPr>
          <w:rFonts w:cs="Arial" w:ascii="Arial" w:hAnsi="Arial"/>
        </w:rPr>
        <w:t>par</w:t>
      </w:r>
      <w:r>
        <w:rPr>
          <w:rFonts w:eastAsia="Arial" w:cs="Arial" w:ascii="Arial" w:hAnsi="Arial"/>
        </w:rPr>
        <w:t xml:space="preserve"> </w:t>
      </w:r>
      <w:r>
        <w:rPr>
          <w:rFonts w:cs="Arial" w:ascii="Arial" w:hAnsi="Arial"/>
        </w:rPr>
        <w:t>le</w:t>
      </w:r>
      <w:r>
        <w:rPr>
          <w:rFonts w:eastAsia="Arial" w:cs="Arial" w:ascii="Arial" w:hAnsi="Arial"/>
        </w:rPr>
        <w:t xml:space="preserve"> </w:t>
      </w:r>
      <w:r>
        <w:rPr>
          <w:rFonts w:cs="Arial" w:ascii="Arial" w:hAnsi="Arial"/>
        </w:rPr>
        <w:t>responsable</w:t>
      </w:r>
      <w:r>
        <w:rPr>
          <w:rFonts w:eastAsia="Arial" w:cs="Arial" w:ascii="Arial" w:hAnsi="Arial"/>
        </w:rPr>
        <w:t xml:space="preserve"> </w:t>
      </w:r>
      <w:r>
        <w:rPr>
          <w:rFonts w:cs="Arial" w:ascii="Arial" w:hAnsi="Arial"/>
        </w:rPr>
        <w:t>du</w:t>
      </w:r>
      <w:r>
        <w:rPr>
          <w:rFonts w:eastAsia="Arial" w:cs="Arial" w:ascii="Arial" w:hAnsi="Arial"/>
        </w:rPr>
        <w:t xml:space="preserve"> </w:t>
      </w:r>
      <w:r>
        <w:rPr>
          <w:rFonts w:cs="Arial" w:ascii="Arial" w:hAnsi="Arial"/>
        </w:rPr>
        <w:t>paramètre)</w:t>
      </w:r>
    </w:p>
    <w:p>
      <w:pPr>
        <w:pStyle w:val="Normal"/>
        <w:ind w:left="0" w:right="0" w:firstLine="708"/>
        <w:rPr/>
      </w:pPr>
      <w:r>
        <w:rPr/>
      </w:r>
    </w:p>
    <w:p>
      <w:pPr>
        <w:pStyle w:val="Normal"/>
        <w:rPr/>
      </w:pPr>
      <w:r>
        <w:rPr/>
      </w:r>
    </w:p>
    <w:p>
      <w:pPr>
        <w:pStyle w:val="Titre4"/>
        <w:numPr>
          <w:ilvl w:val="3"/>
          <w:numId w:val="1"/>
        </w:numPr>
        <w:ind w:left="0" w:right="-108" w:hanging="0"/>
        <w:rPr>
          <w:b/>
          <w:bCs/>
          <w:color w:val="FF0000"/>
        </w:rPr>
      </w:pPr>
      <w:r>
        <w:rPr>
          <w:b/>
          <w:bCs/>
          <w:color w:val="FF0000"/>
        </w:rPr>
        <w:tab/>
      </w:r>
    </w:p>
    <w:p>
      <w:pPr>
        <w:pStyle w:val="Titre3"/>
        <w:numPr>
          <w:ilvl w:val="0"/>
          <w:numId w:val="2"/>
        </w:numPr>
        <w:pBdr>
          <w:top w:val="nil"/>
          <w:left w:val="nil"/>
          <w:bottom w:val="single" w:sz="4" w:space="0" w:color="000001"/>
          <w:right w:val="nil"/>
        </w:pBdr>
        <w:tabs>
          <w:tab w:val="left" w:pos="0" w:leader="none"/>
          <w:tab w:val="left" w:pos="360" w:leader="none"/>
          <w:tab w:val="left" w:pos="470" w:leader="none"/>
        </w:tabs>
        <w:ind w:left="110" w:right="0" w:hanging="360"/>
        <w:rPr>
          <w:rFonts w:eastAsia="Arial"/>
          <w:b/>
          <w:bCs/>
        </w:rPr>
      </w:pPr>
      <w:r>
        <w:rPr>
          <w:rFonts w:eastAsia="Arial"/>
        </w:rPr>
        <w:t xml:space="preserve">Nom du DATASET / Data SET NAME </w:t>
      </w:r>
      <w:r>
        <w:rPr>
          <w:rFonts w:eastAsia="Arial"/>
          <w:b/>
          <w:bCs/>
        </w:rPr>
        <w:t>SILICON DATA</w:t>
      </w:r>
    </w:p>
    <w:p>
      <w:pPr>
        <w:pStyle w:val="Normal"/>
        <w:tabs>
          <w:tab w:val="left" w:pos="-110" w:leader="none"/>
          <w:tab w:val="left" w:pos="9970" w:leader="none"/>
        </w:tabs>
        <w:ind w:left="-1190" w:right="0" w:hanging="0"/>
        <w:rPr/>
      </w:pPr>
      <w:r>
        <w:rPr/>
      </w:r>
    </w:p>
    <w:p>
      <w:pPr>
        <w:pStyle w:val="Normal"/>
        <w:rPr>
          <w:rStyle w:val="Style8b"/>
          <w:lang w:val="en-GB"/>
        </w:rPr>
      </w:pPr>
      <w:r>
        <w:rPr>
          <w:rStyle w:val="Style8b"/>
          <w:rFonts w:eastAsia="Arial"/>
          <w:i/>
          <w:iCs/>
          <w:color w:val="FF0000"/>
          <w:lang w:val="en-GB"/>
        </w:rPr>
        <w:t>Data set Name (list of the measured parameters)</w:t>
      </w:r>
      <w:r>
        <w:rPr>
          <w:rStyle w:val="Style8b"/>
          <w:i/>
          <w:iCs/>
          <w:color w:val="FF0000"/>
          <w:lang w:val="en-GB"/>
        </w:rPr>
        <w:t>:</w:t>
      </w:r>
      <w:r>
        <w:rPr>
          <w:rStyle w:val="Style8b"/>
          <w:lang w:val="en-GB"/>
        </w:rPr>
        <w:t xml:space="preserve"> </w:t>
      </w:r>
    </w:p>
    <w:p>
      <w:pPr>
        <w:pStyle w:val="Normal"/>
        <w:pBdr>
          <w:top w:val="single" w:sz="4" w:space="0" w:color="00000A"/>
          <w:left w:val="single" w:sz="4" w:space="0" w:color="00000A"/>
          <w:bottom w:val="single" w:sz="4" w:space="0" w:color="00000A"/>
          <w:right w:val="single" w:sz="4" w:space="0" w:color="00000A"/>
        </w:pBdr>
        <w:rPr>
          <w:b/>
          <w:bCs/>
          <w:lang w:val="en-GB"/>
        </w:rPr>
      </w:pPr>
      <w:r>
        <w:rPr>
          <w:b/>
          <w:bCs/>
          <w:lang w:val="en-GB"/>
        </w:rPr>
        <w:t>Param code</w:t>
        <w:tab/>
        <w:t>Name</w:t>
        <w:tab/>
        <w:tab/>
        <w:tab/>
        <w:tab/>
        <w:tab/>
        <w:tab/>
        <w:t>Responsible</w:t>
      </w:r>
    </w:p>
    <w:p>
      <w:pPr>
        <w:pStyle w:val="Normal"/>
        <w:pBdr>
          <w:top w:val="single" w:sz="4" w:space="0" w:color="00000A"/>
          <w:left w:val="single" w:sz="4" w:space="0" w:color="00000A"/>
          <w:bottom w:val="single" w:sz="4" w:space="0" w:color="00000A"/>
          <w:right w:val="single" w:sz="4" w:space="0" w:color="00000A"/>
        </w:pBdr>
        <w:rPr>
          <w:lang w:val="en-GB"/>
        </w:rPr>
      </w:pPr>
      <w:r>
        <w:rPr>
          <w:lang w:val="en-GB"/>
        </w:rPr>
        <w:t xml:space="preserve">Si #1 </w:t>
        <w:tab/>
        <w:tab/>
        <w:t>Orthosilicic acid (SiOH</w:t>
      </w:r>
      <w:r>
        <w:rPr>
          <w:vertAlign w:val="subscript"/>
          <w:lang w:val="en-GB"/>
        </w:rPr>
        <w:t>4</w:t>
      </w:r>
      <w:r>
        <w:rPr>
          <w:lang w:val="en-GB"/>
        </w:rPr>
        <w:t>)</w:t>
        <w:tab/>
        <w:tab/>
        <w:tab/>
        <w:tab/>
        <w:t>Leynaert-Moriceau</w:t>
      </w:r>
    </w:p>
    <w:p>
      <w:pPr>
        <w:pStyle w:val="Normal"/>
        <w:pBdr>
          <w:top w:val="single" w:sz="4" w:space="0" w:color="00000A"/>
          <w:left w:val="single" w:sz="4" w:space="0" w:color="00000A"/>
          <w:bottom w:val="single" w:sz="4" w:space="0" w:color="00000A"/>
          <w:right w:val="single" w:sz="4" w:space="0" w:color="00000A"/>
        </w:pBdr>
        <w:rPr>
          <w:lang w:val="en-GB"/>
        </w:rPr>
      </w:pPr>
      <w:r>
        <w:rPr>
          <w:lang w:val="en-GB"/>
        </w:rPr>
        <w:t xml:space="preserve">Si #2 </w:t>
        <w:tab/>
        <w:tab/>
        <w:t xml:space="preserve">Biogenic and lithogenic silica (BSi &amp; LSi),   </w:t>
        <w:tab/>
        <w:t>Leynaert-Moriceau-Leblanc-Quéguiner</w:t>
      </w:r>
    </w:p>
    <w:p>
      <w:pPr>
        <w:pStyle w:val="Normal"/>
        <w:pBdr>
          <w:top w:val="single" w:sz="4" w:space="0" w:color="00000A"/>
          <w:left w:val="single" w:sz="4" w:space="0" w:color="00000A"/>
          <w:bottom w:val="single" w:sz="4" w:space="0" w:color="00000A"/>
          <w:right w:val="single" w:sz="4" w:space="0" w:color="00000A"/>
        </w:pBdr>
        <w:rPr/>
      </w:pPr>
      <w:r>
        <w:rPr/>
        <w:t xml:space="preserve">Si #3 </w:t>
        <w:tab/>
        <w:tab/>
        <w:t>Si uptake</w:t>
      </w:r>
      <w:r>
        <w:rPr>
          <w:lang w:val="fr-FR"/>
        </w:rPr>
        <w:t xml:space="preserve"> rate (</w:t>
      </w:r>
      <w:r>
        <w:rPr>
          <w:rFonts w:eastAsia="Symbola"/>
        </w:rPr>
        <w:t>ρ</w:t>
      </w:r>
      <w:r>
        <w:rPr>
          <w:vertAlign w:val="superscript"/>
        </w:rPr>
        <w:t>32</w:t>
      </w:r>
      <w:r>
        <w:rPr>
          <w:lang w:val="fr-FR"/>
        </w:rPr>
        <w:t>Si)</w:t>
        <w:tab/>
        <w:tab/>
      </w:r>
      <w:r>
        <w:rPr/>
        <w:tab/>
        <w:tab/>
        <w:t>Leynaert</w:t>
      </w:r>
    </w:p>
    <w:p>
      <w:pPr>
        <w:pStyle w:val="Normal"/>
        <w:pBdr>
          <w:top w:val="single" w:sz="4" w:space="0" w:color="00000A"/>
          <w:left w:val="single" w:sz="4" w:space="0" w:color="00000A"/>
          <w:bottom w:val="single" w:sz="4" w:space="0" w:color="00000A"/>
          <w:right w:val="single" w:sz="4" w:space="0" w:color="00000A"/>
        </w:pBdr>
        <w:rPr/>
      </w:pPr>
      <w:r>
        <w:rPr/>
        <w:t xml:space="preserve">Si #4 </w:t>
        <w:tab/>
        <w:tab/>
        <w:t xml:space="preserve">Si limitation experiment </w:t>
      </w:r>
      <w:r>
        <w:rPr>
          <w:lang w:val="fr-FR"/>
        </w:rPr>
        <w:t>(</w:t>
      </w:r>
      <w:r>
        <w:rPr>
          <w:rFonts w:eastAsia="Symbola"/>
        </w:rPr>
        <w:t>ρ</w:t>
      </w:r>
      <w:r>
        <w:rPr>
          <w:vertAlign w:val="superscript"/>
        </w:rPr>
        <w:t>32</w:t>
      </w:r>
      <w:r>
        <w:rPr>
          <w:lang w:val="fr-FR"/>
        </w:rPr>
        <w:t>Si), V</w:t>
      </w:r>
      <w:r>
        <w:rPr>
          <w:vertAlign w:val="subscript"/>
          <w:lang w:val="fr-FR"/>
        </w:rPr>
        <w:t>max</w:t>
      </w:r>
      <w:r>
        <w:rPr>
          <w:lang w:val="fr-FR"/>
        </w:rPr>
        <w:t xml:space="preserve"> and K</w:t>
      </w:r>
      <w:r>
        <w:rPr>
          <w:vertAlign w:val="subscript"/>
          <w:lang w:val="fr-FR"/>
        </w:rPr>
        <w:t>Si</w:t>
      </w:r>
      <w:r>
        <w:rPr/>
        <w:tab/>
        <w:t>Leynaert</w:t>
      </w:r>
    </w:p>
    <w:p>
      <w:pPr>
        <w:pStyle w:val="Normal"/>
        <w:pBdr>
          <w:top w:val="single" w:sz="4" w:space="0" w:color="00000A"/>
          <w:left w:val="single" w:sz="4" w:space="0" w:color="00000A"/>
          <w:bottom w:val="single" w:sz="4" w:space="0" w:color="00000A"/>
          <w:right w:val="single" w:sz="4" w:space="0" w:color="00000A"/>
        </w:pBdr>
        <w:rPr/>
      </w:pPr>
      <w:r>
        <w:rPr/>
        <w:t xml:space="preserve">Si #5 </w:t>
        <w:tab/>
        <w:tab/>
        <w:t>B</w:t>
      </w:r>
      <w:r>
        <w:rPr>
          <w:lang w:val="fr-FR"/>
        </w:rPr>
        <w:t>Si dissolution rate</w:t>
      </w:r>
      <w:r>
        <w:rPr/>
        <w:t xml:space="preserve"> (</w:t>
      </w:r>
      <w:r>
        <w:rPr>
          <w:rFonts w:eastAsia="Symbola"/>
        </w:rPr>
        <w:t>Δ</w:t>
      </w:r>
      <w:r>
        <w:rPr/>
        <w:t>BSi)</w:t>
      </w:r>
      <w:r>
        <w:rPr>
          <w:lang w:val="fr-FR"/>
        </w:rPr>
        <w:t xml:space="preserve">, </w:t>
      </w:r>
      <w:r>
        <w:rPr/>
        <w:tab/>
        <w:tab/>
        <w:tab/>
        <w:t>Moriceau</w:t>
      </w:r>
    </w:p>
    <w:p>
      <w:pPr>
        <w:pStyle w:val="Normal"/>
        <w:pBdr>
          <w:top w:val="single" w:sz="4" w:space="0" w:color="00000A"/>
          <w:left w:val="single" w:sz="4" w:space="0" w:color="00000A"/>
          <w:bottom w:val="single" w:sz="4" w:space="0" w:color="00000A"/>
          <w:right w:val="single" w:sz="4" w:space="0" w:color="00000A"/>
        </w:pBdr>
        <w:rPr/>
      </w:pPr>
      <w:r>
        <w:rPr/>
        <w:t xml:space="preserve">Si #6 </w:t>
        <w:tab/>
        <w:tab/>
        <w:t>S</w:t>
      </w:r>
      <w:r>
        <w:rPr>
          <w:lang w:val="fr-FR"/>
        </w:rPr>
        <w:t xml:space="preserve">pecific </w:t>
      </w:r>
      <w:r>
        <w:rPr/>
        <w:t xml:space="preserve">Si </w:t>
      </w:r>
      <w:r>
        <w:rPr>
          <w:lang w:val="fr-FR"/>
        </w:rPr>
        <w:t>production rate (</w:t>
      </w:r>
      <w:r>
        <w:rPr>
          <w:rFonts w:eastAsia="Symbola"/>
        </w:rPr>
        <w:t>ρ</w:t>
      </w:r>
      <w:r>
        <w:rPr>
          <w:lang w:val="fr-FR"/>
        </w:rPr>
        <w:t xml:space="preserve">PDMPO), </w:t>
      </w:r>
      <w:r>
        <w:rPr/>
        <w:tab/>
        <w:tab/>
        <w:t>Leblanc-Quéguiner</w:t>
      </w:r>
    </w:p>
    <w:p>
      <w:pPr>
        <w:pStyle w:val="Normal"/>
        <w:pBdr>
          <w:top w:val="single" w:sz="4" w:space="0" w:color="00000A"/>
          <w:left w:val="single" w:sz="4" w:space="0" w:color="00000A"/>
          <w:bottom w:val="single" w:sz="4" w:space="0" w:color="00000A"/>
          <w:right w:val="single" w:sz="4" w:space="0" w:color="00000A"/>
        </w:pBdr>
        <w:rPr>
          <w:lang w:val="en-US"/>
        </w:rPr>
      </w:pPr>
      <w:r>
        <w:rPr>
          <w:lang w:val="en-US"/>
        </w:rPr>
        <w:t>Si #7</w:t>
        <w:tab/>
        <w:tab/>
        <w:t>Diatom taxonomy and abundance</w:t>
        <w:tab/>
        <w:tab/>
        <w:tab/>
        <w:t>Leblanc-Quéguiner</w:t>
      </w:r>
    </w:p>
    <w:p>
      <w:pPr>
        <w:pStyle w:val="Normal"/>
        <w:rPr>
          <w:lang w:val="en-US"/>
        </w:rPr>
      </w:pPr>
      <w:r>
        <w:rPr>
          <w:lang w:val="en-US"/>
        </w:rPr>
      </w:r>
    </w:p>
    <w:p>
      <w:pPr>
        <w:pStyle w:val="Titre3"/>
        <w:numPr>
          <w:ilvl w:val="0"/>
          <w:numId w:val="2"/>
        </w:numPr>
        <w:pBdr>
          <w:top w:val="nil"/>
          <w:left w:val="nil"/>
          <w:bottom w:val="single" w:sz="4" w:space="1" w:color="000001"/>
          <w:right w:val="nil"/>
        </w:pBdr>
        <w:tabs>
          <w:tab w:val="left" w:pos="0" w:leader="none"/>
          <w:tab w:val="left" w:pos="360" w:leader="none"/>
        </w:tabs>
        <w:rPr>
          <w:i/>
          <w:iCs/>
        </w:rPr>
      </w:pPr>
      <w:r>
        <w:rPr/>
        <w:t>PROJET</w:t>
      </w:r>
      <w:r>
        <w:rPr>
          <w:rFonts w:eastAsia="Arial"/>
        </w:rPr>
        <w:t>-</w:t>
      </w:r>
      <w:r>
        <w:rPr/>
        <w:t>ETUDE</w:t>
      </w:r>
      <w:r>
        <w:rPr>
          <w:rFonts w:eastAsia="Arial"/>
        </w:rPr>
        <w:t xml:space="preserve"> </w:t>
      </w:r>
      <w:r>
        <w:rPr/>
        <w:t>/</w:t>
      </w:r>
      <w:r>
        <w:rPr>
          <w:rFonts w:eastAsia="Arial"/>
        </w:rPr>
        <w:t xml:space="preserve"> </w:t>
      </w:r>
      <w:r>
        <w:rPr>
          <w:i/>
          <w:iCs/>
        </w:rPr>
        <w:t>PROJECT</w:t>
      </w:r>
      <w:r>
        <w:rPr>
          <w:rFonts w:eastAsia="Arial"/>
          <w:i/>
          <w:iCs/>
        </w:rPr>
        <w:t xml:space="preserve"> </w:t>
      </w:r>
      <w:r>
        <w:rPr>
          <w:i/>
          <w:iCs/>
        </w:rPr>
        <w:t>TITLE</w:t>
      </w:r>
    </w:p>
    <w:p>
      <w:pPr>
        <w:pStyle w:val="Normal"/>
        <w:ind w:left="360" w:right="0" w:hanging="0"/>
        <w:rPr/>
      </w:pPr>
      <w:r>
        <w:rPr/>
      </w:r>
    </w:p>
    <w:p>
      <w:pPr>
        <w:pStyle w:val="Normal"/>
        <w:tabs>
          <w:tab w:val="left" w:pos="3240" w:leader="none"/>
        </w:tabs>
        <w:spacing w:lineRule="auto" w:line="360"/>
        <w:rPr>
          <w:rFonts w:eastAsia="Arial"/>
          <w:i/>
          <w:iCs/>
          <w:color w:val="FF0000"/>
          <w:sz w:val="24"/>
          <w:szCs w:val="24"/>
          <w:lang w:val="en-GB"/>
        </w:rPr>
      </w:pPr>
      <w:r>
        <w:rPr>
          <w:i/>
          <w:iCs/>
          <w:color w:val="FF0000"/>
          <w:sz w:val="24"/>
          <w:szCs w:val="24"/>
          <w:lang w:val="en-GB"/>
        </w:rPr>
        <w:t>Campaign</w:t>
      </w:r>
      <w:r>
        <w:rPr>
          <w:rFonts w:eastAsia="Arial"/>
          <w:i/>
          <w:iCs/>
          <w:color w:val="FF0000"/>
          <w:sz w:val="24"/>
          <w:szCs w:val="24"/>
          <w:lang w:val="en-GB"/>
        </w:rPr>
        <w:t xml:space="preserve">  </w:t>
      </w:r>
      <w:r>
        <w:rPr>
          <w:i/>
          <w:iCs/>
          <w:color w:val="FF0000"/>
          <w:sz w:val="24"/>
          <w:szCs w:val="24"/>
          <w:lang w:val="en-GB"/>
        </w:rPr>
        <w:t>NAME</w:t>
      </w:r>
      <w:r>
        <w:rPr>
          <w:rFonts w:eastAsia="Arial"/>
          <w:i/>
          <w:iCs/>
          <w:color w:val="FF0000"/>
          <w:sz w:val="24"/>
          <w:szCs w:val="24"/>
          <w:lang w:val="en-GB"/>
        </w:rPr>
        <w:t xml:space="preserve"> </w:t>
      </w:r>
      <w:r>
        <w:rPr>
          <w:color w:val="000000"/>
          <w:sz w:val="24"/>
          <w:szCs w:val="24"/>
          <w:lang w:val="en-GB"/>
        </w:rPr>
        <w:t>:</w:t>
      </w:r>
      <w:r>
        <w:rPr>
          <w:rFonts w:eastAsia="Arial"/>
          <w:color w:val="000000"/>
          <w:sz w:val="24"/>
          <w:szCs w:val="24"/>
          <w:lang w:val="en-GB"/>
        </w:rPr>
        <w:t xml:space="preserve">   GreenEdge – ICECAMP – 2016</w:t>
        <w:tab/>
      </w:r>
      <w:r>
        <w:rPr>
          <w:rFonts w:eastAsia="Arial"/>
          <w:i/>
          <w:iCs/>
          <w:color w:val="FF0000"/>
          <w:sz w:val="24"/>
          <w:szCs w:val="24"/>
          <w:lang w:val="en-GB"/>
        </w:rPr>
        <w:t>LEG :</w:t>
      </w:r>
    </w:p>
    <w:p>
      <w:pPr>
        <w:pStyle w:val="Normal"/>
        <w:tabs>
          <w:tab w:val="left" w:pos="3240" w:leader="none"/>
        </w:tabs>
        <w:spacing w:lineRule="auto" w:line="360"/>
        <w:rPr>
          <w:rFonts w:eastAsia="Arial"/>
          <w:i/>
          <w:iCs/>
          <w:sz w:val="24"/>
          <w:szCs w:val="24"/>
          <w:lang w:val="en-GB"/>
        </w:rPr>
      </w:pPr>
      <w:r>
        <w:rPr>
          <w:rFonts w:eastAsia="Arial"/>
          <w:i/>
          <w:iCs/>
          <w:color w:val="FF0000"/>
          <w:sz w:val="24"/>
          <w:szCs w:val="24"/>
          <w:lang w:val="en-GB"/>
        </w:rPr>
        <w:t>Date</w:t>
      </w:r>
      <w:r>
        <w:rPr>
          <w:rFonts w:eastAsia="Arial"/>
          <w:color w:val="000000"/>
          <w:sz w:val="24"/>
          <w:szCs w:val="24"/>
          <w:lang w:val="en-GB"/>
        </w:rPr>
        <w:t xml:space="preserve"> </w:t>
      </w:r>
      <w:r>
        <w:rPr>
          <w:rFonts w:eastAsia="Arial"/>
          <w:i/>
          <w:iCs/>
          <w:color w:val="FF0000"/>
          <w:sz w:val="24"/>
          <w:szCs w:val="24"/>
          <w:lang w:val="en-GB"/>
        </w:rPr>
        <w:t xml:space="preserve">begin : </w:t>
      </w:r>
      <w:r>
        <w:rPr>
          <w:rFonts w:eastAsia="Arial"/>
          <w:i/>
          <w:iCs/>
          <w:sz w:val="24"/>
          <w:szCs w:val="24"/>
          <w:lang w:val="en-GB"/>
        </w:rPr>
        <w:t>06/05/2016</w:t>
      </w:r>
    </w:p>
    <w:p>
      <w:pPr>
        <w:pStyle w:val="Normal"/>
        <w:tabs>
          <w:tab w:val="left" w:pos="3240" w:leader="none"/>
        </w:tabs>
        <w:spacing w:lineRule="auto" w:line="360"/>
        <w:rPr>
          <w:rFonts w:eastAsia="Arial"/>
          <w:i/>
          <w:iCs/>
          <w:sz w:val="24"/>
          <w:szCs w:val="24"/>
          <w:lang w:val="en-GB"/>
        </w:rPr>
      </w:pPr>
      <w:r>
        <w:rPr>
          <w:rFonts w:eastAsia="Arial"/>
          <w:i/>
          <w:iCs/>
          <w:color w:val="FF0000"/>
          <w:sz w:val="24"/>
          <w:szCs w:val="24"/>
          <w:lang w:val="en-GB"/>
        </w:rPr>
        <w:t xml:space="preserve">Date end : </w:t>
      </w:r>
      <w:r>
        <w:rPr>
          <w:rFonts w:eastAsia="Arial"/>
          <w:i/>
          <w:iCs/>
          <w:sz w:val="24"/>
          <w:szCs w:val="24"/>
          <w:lang w:val="en-GB"/>
        </w:rPr>
        <w:t>08/07/2016</w:t>
      </w:r>
    </w:p>
    <w:p>
      <w:pPr>
        <w:pStyle w:val="Normal"/>
        <w:spacing w:lineRule="auto" w:line="360"/>
        <w:rPr>
          <w:rFonts w:eastAsia="Arial"/>
          <w:color w:val="000000"/>
          <w:sz w:val="24"/>
          <w:szCs w:val="24"/>
          <w:lang w:val="en-GB"/>
        </w:rPr>
      </w:pPr>
      <w:r>
        <w:rPr>
          <w:i/>
          <w:iCs/>
          <w:color w:val="FF0000"/>
          <w:sz w:val="24"/>
          <w:szCs w:val="24"/>
          <w:lang w:val="en-GB"/>
        </w:rPr>
        <w:t>Chief</w:t>
      </w:r>
      <w:r>
        <w:rPr>
          <w:rFonts w:eastAsia="Arial"/>
          <w:i/>
          <w:iCs/>
          <w:color w:val="FF0000"/>
          <w:sz w:val="24"/>
          <w:szCs w:val="24"/>
          <w:lang w:val="en-GB"/>
        </w:rPr>
        <w:t xml:space="preserve"> </w:t>
      </w:r>
      <w:r>
        <w:rPr>
          <w:i/>
          <w:iCs/>
          <w:color w:val="FF0000"/>
          <w:sz w:val="24"/>
          <w:szCs w:val="24"/>
          <w:lang w:val="en-GB"/>
        </w:rPr>
        <w:t>Scientist</w:t>
      </w:r>
      <w:r>
        <w:rPr>
          <w:color w:val="000000"/>
          <w:sz w:val="24"/>
          <w:szCs w:val="24"/>
          <w:lang w:val="en-GB"/>
        </w:rPr>
        <w:t>:</w:t>
      </w:r>
      <w:r>
        <w:rPr>
          <w:rFonts w:eastAsia="Arial"/>
          <w:color w:val="000000"/>
          <w:sz w:val="24"/>
          <w:szCs w:val="24"/>
          <w:lang w:val="en-GB"/>
        </w:rPr>
        <w:t xml:space="preserve"> </w:t>
      </w:r>
    </w:p>
    <w:p>
      <w:pPr>
        <w:pStyle w:val="Texteprformat"/>
        <w:spacing w:lineRule="auto" w:line="360"/>
        <w:rPr>
          <w:color w:val="000000"/>
          <w:sz w:val="22"/>
          <w:szCs w:val="22"/>
        </w:rPr>
      </w:pPr>
      <w:r>
        <w:rPr>
          <w:i/>
          <w:iCs/>
          <w:color w:val="FF0000"/>
          <w:sz w:val="22"/>
          <w:szCs w:val="22"/>
        </w:rPr>
        <w:t xml:space="preserve">Address : </w:t>
      </w:r>
      <w:r>
        <w:rPr>
          <w:color w:val="000000"/>
          <w:sz w:val="22"/>
          <w:szCs w:val="22"/>
        </w:rPr>
        <w:t>Université Laval, UMI Takuvik, 1045 avenue de la médecine, Québec, QC, G1V0A6, Canada</w:t>
        <w:tab/>
      </w:r>
    </w:p>
    <w:p>
      <w:pPr>
        <w:pStyle w:val="Texteprformat"/>
        <w:rPr/>
      </w:pPr>
      <w:r>
        <w:rPr>
          <w:sz w:val="24"/>
          <w:szCs w:val="24"/>
        </w:rPr>
        <w:tab/>
        <w:tab/>
      </w:r>
      <w:r>
        <w:rPr/>
        <w:tab/>
        <w:tab/>
      </w:r>
    </w:p>
    <w:p>
      <w:pPr>
        <w:pStyle w:val="Titre3"/>
        <w:numPr>
          <w:ilvl w:val="0"/>
          <w:numId w:val="2"/>
        </w:numPr>
        <w:pBdr>
          <w:top w:val="nil"/>
          <w:left w:val="nil"/>
          <w:bottom w:val="single" w:sz="4" w:space="1" w:color="000001"/>
          <w:right w:val="nil"/>
        </w:pBdr>
        <w:tabs>
          <w:tab w:val="left" w:pos="0" w:leader="none"/>
          <w:tab w:val="left" w:pos="360" w:leader="none"/>
        </w:tabs>
        <w:rPr>
          <w:rFonts w:eastAsia="Arial"/>
          <w:i/>
          <w:iCs/>
          <w:lang w:val="en-GB"/>
        </w:rPr>
      </w:pPr>
      <w:r>
        <w:rPr>
          <w:lang w:val="en-GB"/>
        </w:rPr>
        <w:t>OPERATION</w:t>
      </w:r>
      <w:r>
        <w:rPr>
          <w:rFonts w:eastAsia="Arial"/>
          <w:lang w:val="en-GB"/>
        </w:rPr>
        <w:t xml:space="preserve"> </w:t>
      </w:r>
      <w:r>
        <w:rPr>
          <w:rFonts w:eastAsia="Arial"/>
          <w:i/>
          <w:iCs/>
          <w:lang w:val="en-GB"/>
        </w:rPr>
        <w:t>(if Relevant)</w:t>
      </w:r>
    </w:p>
    <w:p>
      <w:pPr>
        <w:pStyle w:val="Normal"/>
        <w:rPr>
          <w:rFonts w:eastAsia="Arial"/>
          <w:i/>
          <w:iCs/>
          <w:color w:val="FF0000"/>
          <w:sz w:val="22"/>
          <w:szCs w:val="22"/>
        </w:rPr>
      </w:pPr>
      <w:r>
        <w:rPr>
          <w:rFonts w:eastAsia="Arial"/>
          <w:i/>
          <w:iCs/>
          <w:color w:val="FF0000"/>
          <w:sz w:val="22"/>
          <w:szCs w:val="22"/>
        </w:rPr>
        <w:t xml:space="preserve"> </w:t>
      </w:r>
    </w:p>
    <w:p>
      <w:pPr>
        <w:pStyle w:val="Normal"/>
        <w:rPr>
          <w:rFonts w:eastAsia="Arial"/>
          <w:i/>
          <w:iCs/>
          <w:color w:val="FF0000"/>
          <w:sz w:val="22"/>
          <w:szCs w:val="22"/>
        </w:rPr>
      </w:pPr>
      <w:r>
        <w:rPr>
          <w:rFonts w:eastAsia="Arial"/>
          <w:i/>
          <w:iCs/>
          <w:color w:val="FF0000"/>
          <w:sz w:val="22"/>
          <w:szCs w:val="22"/>
        </w:rPr>
        <w:t xml:space="preserve">Sampling method : </w:t>
      </w:r>
    </w:p>
    <w:p>
      <w:pPr>
        <w:pStyle w:val="Normal"/>
        <w:rPr>
          <w:rFonts w:eastAsia="Arial"/>
          <w:sz w:val="22"/>
          <w:szCs w:val="22"/>
          <w:lang w:val="en-US"/>
        </w:rPr>
      </w:pPr>
      <w:r>
        <w:rPr>
          <w:rFonts w:eastAsia="Arial"/>
          <w:sz w:val="22"/>
          <w:szCs w:val="22"/>
          <w:lang w:val="en-US"/>
        </w:rPr>
        <w:t xml:space="preserve">- Water: </w:t>
        <w:tab/>
        <w:t xml:space="preserve">Niskin bottle 5 depths:1.5 m; 5 m; 20 m; 40 m; 60 m </w:t>
      </w:r>
    </w:p>
    <w:p>
      <w:pPr>
        <w:pStyle w:val="Normal"/>
        <w:rPr>
          <w:rFonts w:eastAsia="Arial"/>
          <w:sz w:val="22"/>
          <w:szCs w:val="22"/>
          <w:lang w:val="en-US"/>
        </w:rPr>
      </w:pPr>
      <w:r>
        <w:rPr>
          <w:rFonts w:eastAsia="Arial"/>
          <w:sz w:val="22"/>
          <w:szCs w:val="22"/>
          <w:lang w:val="en-US"/>
        </w:rPr>
        <w:t xml:space="preserve">          </w:t>
      </w:r>
      <w:r>
        <w:rPr>
          <w:rFonts w:eastAsia="Arial"/>
          <w:sz w:val="22"/>
          <w:szCs w:val="22"/>
          <w:lang w:val="en-US"/>
        </w:rPr>
        <w:tab/>
        <w:tab/>
        <w:t xml:space="preserve"> pumping for the under ice water: 0 m</w:t>
      </w:r>
    </w:p>
    <w:p>
      <w:pPr>
        <w:pStyle w:val="Normal"/>
        <w:rPr>
          <w:rFonts w:eastAsia="Arial"/>
          <w:sz w:val="22"/>
          <w:szCs w:val="22"/>
          <w:lang w:val="en-US"/>
        </w:rPr>
      </w:pPr>
      <w:r>
        <w:rPr>
          <w:rFonts w:eastAsia="Arial"/>
          <w:sz w:val="22"/>
          <w:szCs w:val="22"/>
          <w:lang w:val="en-US"/>
        </w:rPr>
        <w:t xml:space="preserve">-Ice:        </w:t>
        <w:tab/>
        <w:t>Ice core sampling at 2 depth for silicate and bSi; 0-3 cm and 3-10cm (0,0165 m</w:t>
      </w:r>
      <w:r>
        <w:rPr>
          <w:rFonts w:eastAsia="Arial"/>
          <w:sz w:val="22"/>
          <w:szCs w:val="22"/>
          <w:vertAlign w:val="superscript"/>
          <w:lang w:val="en-US"/>
        </w:rPr>
        <w:t>2</w:t>
      </w:r>
      <w:r>
        <w:rPr>
          <w:rFonts w:eastAsia="Arial"/>
          <w:sz w:val="22"/>
          <w:szCs w:val="22"/>
          <w:lang w:val="en-US"/>
        </w:rPr>
        <w:t xml:space="preserve">) </w:t>
      </w:r>
    </w:p>
    <w:p>
      <w:pPr>
        <w:pStyle w:val="Normal"/>
        <w:rPr>
          <w:rFonts w:eastAsia="Arial"/>
          <w:sz w:val="22"/>
          <w:szCs w:val="22"/>
          <w:lang w:val="en-US"/>
        </w:rPr>
      </w:pPr>
      <w:r>
        <w:rPr>
          <w:rFonts w:eastAsia="Arial"/>
          <w:sz w:val="22"/>
          <w:szCs w:val="22"/>
          <w:lang w:val="en-US"/>
        </w:rPr>
        <w:tab/>
        <w:tab/>
        <w:t>at 1 depth for production and dissolution  0-1 cm</w:t>
      </w:r>
    </w:p>
    <w:p>
      <w:pPr>
        <w:pStyle w:val="Normal"/>
        <w:rPr>
          <w:rFonts w:eastAsia="Arial"/>
          <w:sz w:val="22"/>
          <w:szCs w:val="22"/>
          <w:lang w:val="en-US"/>
        </w:rPr>
      </w:pPr>
      <w:r>
        <w:rPr>
          <w:rFonts w:eastAsia="Arial"/>
          <w:sz w:val="22"/>
          <w:szCs w:val="22"/>
          <w:lang w:val="en-US"/>
        </w:rPr>
        <w:t>- Sediment traps (0,146 m</w:t>
      </w:r>
      <w:r>
        <w:rPr>
          <w:rFonts w:eastAsia="Arial"/>
          <w:sz w:val="22"/>
          <w:szCs w:val="22"/>
          <w:vertAlign w:val="superscript"/>
          <w:lang w:val="en-US"/>
        </w:rPr>
        <w:t>2</w:t>
      </w:r>
      <w:r>
        <w:rPr>
          <w:rFonts w:eastAsia="Arial"/>
          <w:sz w:val="22"/>
          <w:szCs w:val="22"/>
          <w:lang w:val="en-US"/>
        </w:rPr>
        <w:t>): 24 h deployment for BSi and BSi dissolution</w:t>
      </w:r>
    </w:p>
    <w:p>
      <w:pPr>
        <w:pStyle w:val="Normal"/>
        <w:rPr>
          <w:i/>
          <w:iCs/>
          <w:sz w:val="22"/>
          <w:szCs w:val="22"/>
          <w:lang w:val="en-US"/>
        </w:rPr>
      </w:pPr>
      <w:r>
        <w:rPr>
          <w:i/>
          <w:iCs/>
          <w:sz w:val="22"/>
          <w:szCs w:val="22"/>
          <w:lang w:val="en-US"/>
        </w:rPr>
      </w:r>
    </w:p>
    <w:p>
      <w:pPr>
        <w:pStyle w:val="Normal"/>
        <w:rPr>
          <w:rFonts w:eastAsia="Arial"/>
          <w:i/>
          <w:iCs/>
          <w:sz w:val="22"/>
          <w:szCs w:val="22"/>
          <w:lang w:val="en-GB"/>
        </w:rPr>
      </w:pPr>
      <w:r>
        <w:rPr>
          <w:i/>
          <w:iCs/>
          <w:color w:val="FF0000"/>
          <w:sz w:val="22"/>
          <w:szCs w:val="22"/>
          <w:lang w:val="en-GB"/>
        </w:rPr>
        <w:t>Station</w:t>
      </w:r>
      <w:r>
        <w:rPr>
          <w:rFonts w:eastAsia="Arial"/>
          <w:i/>
          <w:iCs/>
          <w:color w:val="FF0000"/>
          <w:sz w:val="22"/>
          <w:szCs w:val="22"/>
          <w:lang w:val="en-GB"/>
        </w:rPr>
        <w:t xml:space="preserve"> </w:t>
      </w:r>
      <w:r>
        <w:rPr>
          <w:i/>
          <w:iCs/>
          <w:color w:val="FF0000"/>
          <w:sz w:val="22"/>
          <w:szCs w:val="22"/>
          <w:lang w:val="en-GB"/>
        </w:rPr>
        <w:t>number-Cast</w:t>
      </w:r>
      <w:r>
        <w:rPr>
          <w:rFonts w:eastAsia="Arial"/>
          <w:i/>
          <w:iCs/>
          <w:color w:val="FF0000"/>
          <w:sz w:val="22"/>
          <w:szCs w:val="22"/>
          <w:lang w:val="en-GB"/>
        </w:rPr>
        <w:t xml:space="preserve"> </w:t>
      </w:r>
      <w:r>
        <w:rPr>
          <w:i/>
          <w:iCs/>
          <w:color w:val="FF0000"/>
          <w:sz w:val="22"/>
          <w:szCs w:val="22"/>
          <w:lang w:val="en-GB"/>
        </w:rPr>
        <w:t>number</w:t>
      </w:r>
      <w:r>
        <w:rPr>
          <w:rFonts w:eastAsia="Arial"/>
          <w:i/>
          <w:iCs/>
          <w:color w:val="FF0000"/>
          <w:sz w:val="22"/>
          <w:szCs w:val="22"/>
          <w:lang w:val="en-GB"/>
        </w:rPr>
        <w:t xml:space="preserve"> </w:t>
      </w:r>
      <w:r>
        <w:rPr>
          <w:i/>
          <w:iCs/>
          <w:color w:val="FF0000"/>
          <w:sz w:val="22"/>
          <w:szCs w:val="22"/>
          <w:lang w:val="en-GB"/>
        </w:rPr>
        <w:t>:</w:t>
      </w:r>
      <w:r>
        <w:rPr>
          <w:rFonts w:eastAsia="Arial"/>
          <w:i/>
          <w:iCs/>
          <w:sz w:val="22"/>
          <w:szCs w:val="22"/>
          <w:lang w:val="en-GB"/>
        </w:rPr>
        <w:t xml:space="preserve">  </w:t>
      </w:r>
    </w:p>
    <w:p>
      <w:pPr>
        <w:pStyle w:val="Normal"/>
        <w:rPr>
          <w:i/>
          <w:iCs/>
          <w:sz w:val="22"/>
          <w:szCs w:val="22"/>
          <w:lang w:val="en-GB"/>
        </w:rPr>
      </w:pPr>
      <w:r>
        <w:rPr>
          <w:i/>
          <w:iCs/>
          <w:sz w:val="22"/>
          <w:szCs w:val="22"/>
          <w:lang w:val="en-GB"/>
        </w:rPr>
      </w:r>
    </w:p>
    <w:p>
      <w:pPr>
        <w:pStyle w:val="Normal"/>
        <w:rPr>
          <w:i/>
          <w:iCs/>
          <w:color w:val="FF0000"/>
          <w:sz w:val="22"/>
          <w:szCs w:val="22"/>
          <w:lang w:val="en-US"/>
        </w:rPr>
      </w:pPr>
      <w:r>
        <w:rPr>
          <w:i/>
          <w:iCs/>
          <w:color w:val="FF0000"/>
          <w:sz w:val="22"/>
          <w:szCs w:val="22"/>
          <w:lang w:val="en-US"/>
        </w:rPr>
        <w:t>Operation</w:t>
      </w:r>
      <w:r>
        <w:rPr>
          <w:rFonts w:eastAsia="Arial"/>
          <w:i/>
          <w:iCs/>
          <w:color w:val="FF0000"/>
          <w:sz w:val="22"/>
          <w:szCs w:val="22"/>
          <w:lang w:val="en-US"/>
        </w:rPr>
        <w:t xml:space="preserve"> </w:t>
      </w:r>
      <w:r>
        <w:rPr>
          <w:i/>
          <w:iCs/>
          <w:color w:val="FF0000"/>
          <w:sz w:val="22"/>
          <w:szCs w:val="22"/>
          <w:lang w:val="en-US"/>
        </w:rPr>
        <w:t>code :</w:t>
      </w:r>
    </w:p>
    <w:p>
      <w:pPr>
        <w:pStyle w:val="Normal"/>
        <w:rPr>
          <w:i/>
          <w:iCs/>
          <w:sz w:val="22"/>
          <w:szCs w:val="22"/>
          <w:lang w:val="en-US"/>
        </w:rPr>
      </w:pPr>
      <w:r>
        <w:rPr>
          <w:i/>
          <w:iCs/>
          <w:sz w:val="22"/>
          <w:szCs w:val="22"/>
          <w:lang w:val="en-US"/>
        </w:rPr>
      </w:r>
    </w:p>
    <w:p>
      <w:pPr>
        <w:pStyle w:val="Titre3"/>
        <w:numPr>
          <w:ilvl w:val="0"/>
          <w:numId w:val="2"/>
        </w:numPr>
        <w:pBdr>
          <w:top w:val="nil"/>
          <w:left w:val="nil"/>
          <w:bottom w:val="single" w:sz="4" w:space="1" w:color="000001"/>
          <w:right w:val="nil"/>
        </w:pBdr>
        <w:tabs>
          <w:tab w:val="left" w:pos="0" w:leader="none"/>
          <w:tab w:val="left" w:pos="360" w:leader="none"/>
        </w:tabs>
        <w:rPr>
          <w:b/>
          <w:i/>
          <w:iCs/>
        </w:rPr>
      </w:pPr>
      <w:r>
        <w:rPr>
          <w:b/>
        </w:rPr>
        <w:t>RESPONSABLE</w:t>
      </w:r>
      <w:r>
        <w:rPr>
          <w:rFonts w:eastAsia="Arial"/>
          <w:b/>
        </w:rPr>
        <w:t xml:space="preserve"> </w:t>
      </w:r>
      <w:r>
        <w:rPr>
          <w:b/>
        </w:rPr>
        <w:t>SCIENTIFIQUE</w:t>
      </w:r>
      <w:r>
        <w:rPr>
          <w:rFonts w:eastAsia="Arial"/>
          <w:b/>
        </w:rPr>
        <w:t xml:space="preserve"> </w:t>
      </w:r>
      <w:r>
        <w:rPr>
          <w:b/>
        </w:rPr>
        <w:t>du</w:t>
      </w:r>
      <w:r>
        <w:rPr>
          <w:rFonts w:eastAsia="Arial"/>
          <w:b/>
        </w:rPr>
        <w:t xml:space="preserve"> </w:t>
      </w:r>
      <w:r>
        <w:rPr>
          <w:b/>
        </w:rPr>
        <w:t>paramètre</w:t>
      </w:r>
      <w:r>
        <w:rPr>
          <w:rFonts w:eastAsia="Arial"/>
          <w:b/>
        </w:rPr>
        <w:t xml:space="preserve"> </w:t>
      </w:r>
      <w:r>
        <w:rPr>
          <w:b/>
        </w:rPr>
        <w:t>/</w:t>
      </w:r>
      <w:r>
        <w:rPr>
          <w:rFonts w:eastAsia="Arial"/>
          <w:b/>
        </w:rPr>
        <w:t xml:space="preserve"> </w:t>
      </w:r>
      <w:r>
        <w:rPr>
          <w:b/>
          <w:i/>
          <w:iCs/>
        </w:rPr>
        <w:t>PI</w:t>
      </w:r>
      <w:r>
        <w:rPr>
          <w:rFonts w:eastAsia="Arial"/>
          <w:b/>
          <w:i/>
          <w:iCs/>
        </w:rPr>
        <w:t xml:space="preserve"> </w:t>
      </w:r>
      <w:r>
        <w:rPr>
          <w:b/>
          <w:i/>
          <w:iCs/>
        </w:rPr>
        <w:t>of</w:t>
      </w:r>
      <w:r>
        <w:rPr>
          <w:rFonts w:eastAsia="Arial"/>
          <w:b/>
          <w:i/>
          <w:iCs/>
        </w:rPr>
        <w:t xml:space="preserve"> </w:t>
      </w:r>
      <w:r>
        <w:rPr>
          <w:b/>
          <w:i/>
          <w:iCs/>
        </w:rPr>
        <w:t>the</w:t>
      </w:r>
      <w:r>
        <w:rPr>
          <w:rFonts w:eastAsia="Arial"/>
          <w:b/>
          <w:i/>
          <w:iCs/>
        </w:rPr>
        <w:t xml:space="preserve"> </w:t>
      </w:r>
      <w:r>
        <w:rPr>
          <w:b/>
          <w:i/>
          <w:iCs/>
        </w:rPr>
        <w:t>parameter</w:t>
      </w:r>
    </w:p>
    <w:p>
      <w:pPr>
        <w:pStyle w:val="Normal"/>
        <w:rPr/>
      </w:pPr>
      <w:r>
        <w:rPr/>
      </w:r>
    </w:p>
    <w:p>
      <w:pPr>
        <w:pStyle w:val="Normal"/>
        <w:rPr>
          <w:sz w:val="22"/>
          <w:szCs w:val="22"/>
          <w:lang w:val="en-US"/>
        </w:rPr>
      </w:pPr>
      <w:r>
        <w:rPr>
          <w:sz w:val="22"/>
          <w:szCs w:val="22"/>
          <w:lang w:val="en-US"/>
        </w:rPr>
        <w:t>See Table above for detail parameters responsible</w:t>
      </w:r>
    </w:p>
    <w:p>
      <w:pPr>
        <w:pStyle w:val="Normal"/>
        <w:rPr>
          <w:lang w:val="en-US"/>
        </w:rPr>
      </w:pPr>
      <w:r>
        <w:rPr>
          <w:lang w:val="en-US"/>
        </w:rPr>
      </w:r>
    </w:p>
    <w:p>
      <w:pPr>
        <w:pStyle w:val="Normal"/>
        <w:rPr>
          <w:lang w:val="en-US"/>
        </w:rPr>
      </w:pPr>
      <w:r>
        <w:rPr>
          <w:lang w:val="en-US"/>
        </w:rPr>
      </w:r>
    </w:p>
    <w:tbl>
      <w:tblPr>
        <w:jc w:val="left"/>
        <w:tblInd w:w="70" w:type="dxa"/>
        <w:tblBorders>
          <w:top w:val="dotted" w:sz="4" w:space="0" w:color="000001"/>
          <w:left w:val="dotted" w:sz="4" w:space="0" w:color="000001"/>
          <w:bottom w:val="dotted" w:sz="4" w:space="0" w:color="000001"/>
          <w:insideH w:val="dotted" w:sz="4" w:space="0" w:color="000001"/>
          <w:right w:val="nil"/>
          <w:insideV w:val="nil"/>
        </w:tblBorders>
        <w:tblCellMar>
          <w:top w:w="0" w:type="dxa"/>
          <w:left w:w="65" w:type="dxa"/>
          <w:bottom w:w="0" w:type="dxa"/>
          <w:right w:w="70" w:type="dxa"/>
        </w:tblCellMar>
      </w:tblPr>
      <w:tblGrid>
        <w:gridCol w:w="1502"/>
        <w:gridCol w:w="2079"/>
        <w:gridCol w:w="1799"/>
        <w:gridCol w:w="1809"/>
        <w:gridCol w:w="2580"/>
      </w:tblGrid>
      <w:tr>
        <w:trPr>
          <w:cantSplit w:val="false"/>
        </w:trPr>
        <w:tc>
          <w:tcPr>
            <w:tcW w:w="1502"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rPr>
                <w:color w:val="FF0000"/>
                <w:lang w:val="de-DE"/>
              </w:rPr>
            </w:pPr>
            <w:r>
              <w:rPr>
                <w:color w:val="FF0000"/>
                <w:lang w:val="de-DE"/>
              </w:rPr>
              <w:t>Nom</w:t>
            </w:r>
            <w:r>
              <w:rPr>
                <w:rFonts w:eastAsia="Arial"/>
                <w:color w:val="FF0000"/>
                <w:lang w:val="de-DE"/>
              </w:rPr>
              <w:t xml:space="preserve"> </w:t>
            </w:r>
            <w:r>
              <w:rPr>
                <w:color w:val="FF0000"/>
                <w:lang w:val="de-DE"/>
              </w:rPr>
              <w:t>/</w:t>
            </w:r>
          </w:p>
          <w:p>
            <w:pPr>
              <w:pStyle w:val="Normal"/>
              <w:rPr>
                <w:i/>
                <w:iCs/>
                <w:color w:val="FF0000"/>
                <w:lang w:val="de-DE"/>
              </w:rPr>
            </w:pPr>
            <w:r>
              <w:rPr>
                <w:i/>
                <w:iCs/>
                <w:color w:val="FF0000"/>
                <w:lang w:val="de-DE"/>
              </w:rPr>
              <w:t>name</w:t>
            </w:r>
          </w:p>
        </w:tc>
        <w:tc>
          <w:tcPr>
            <w:tcW w:w="2079"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rPr>
                <w:rFonts w:eastAsia="Arial"/>
                <w:lang w:val="de-DE"/>
              </w:rPr>
            </w:pPr>
            <w:r>
              <w:rPr>
                <w:lang w:val="de-DE"/>
              </w:rPr>
              <w:t>adresse</w:t>
            </w:r>
            <w:r>
              <w:rPr>
                <w:rFonts w:eastAsia="Arial"/>
                <w:lang w:val="de-DE"/>
              </w:rPr>
              <w:t xml:space="preserve"> </w:t>
            </w:r>
            <w:r>
              <w:rPr>
                <w:lang w:val="de-DE"/>
              </w:rPr>
              <w:t>/</w:t>
            </w:r>
            <w:r>
              <w:rPr>
                <w:rFonts w:eastAsia="Arial"/>
                <w:lang w:val="de-DE"/>
              </w:rPr>
              <w:t xml:space="preserve"> </w:t>
            </w:r>
          </w:p>
          <w:p>
            <w:pPr>
              <w:pStyle w:val="Titre1"/>
              <w:numPr>
                <w:ilvl w:val="0"/>
                <w:numId w:val="1"/>
              </w:numPr>
              <w:rPr>
                <w:i/>
                <w:iCs/>
                <w:lang w:val="en-GB"/>
              </w:rPr>
            </w:pPr>
            <w:r>
              <w:rPr>
                <w:i/>
                <w:iCs/>
                <w:lang w:val="en-GB"/>
              </w:rPr>
              <w:t>address</w:t>
            </w:r>
          </w:p>
        </w:tc>
        <w:tc>
          <w:tcPr>
            <w:tcW w:w="1799"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rPr>
                <w:i/>
                <w:iCs/>
                <w:lang w:val="en-GB"/>
              </w:rPr>
            </w:pPr>
            <w:r>
              <w:rPr>
                <w:lang w:val="en-GB"/>
              </w:rPr>
              <w:t>téléphone</w:t>
            </w:r>
            <w:r>
              <w:rPr>
                <w:rFonts w:eastAsia="Arial"/>
                <w:lang w:val="en-GB"/>
              </w:rPr>
              <w:t xml:space="preserve"> </w:t>
            </w:r>
            <w:r>
              <w:rPr>
                <w:lang w:val="en-GB"/>
              </w:rPr>
              <w:t>/</w:t>
            </w:r>
            <w:r>
              <w:rPr>
                <w:rFonts w:eastAsia="Arial"/>
                <w:lang w:val="en-GB"/>
              </w:rPr>
              <w:t xml:space="preserve"> </w:t>
            </w:r>
            <w:r>
              <w:rPr>
                <w:i/>
                <w:iCs/>
                <w:lang w:val="en-GB"/>
              </w:rPr>
              <w:t>phone</w:t>
            </w:r>
            <w:r>
              <w:rPr>
                <w:rFonts w:eastAsia="Arial"/>
                <w:i/>
                <w:iCs/>
                <w:lang w:val="en-GB"/>
              </w:rPr>
              <w:t xml:space="preserve"> </w:t>
            </w:r>
            <w:r>
              <w:rPr>
                <w:i/>
                <w:iCs/>
                <w:lang w:val="en-GB"/>
              </w:rPr>
              <w:t>number</w:t>
            </w:r>
          </w:p>
        </w:tc>
        <w:tc>
          <w:tcPr>
            <w:tcW w:w="1809"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rPr>
                <w:lang w:val="en-GB"/>
              </w:rPr>
            </w:pPr>
            <w:r>
              <w:rPr>
                <w:lang w:val="en-GB"/>
              </w:rPr>
              <w:t>fax</w:t>
            </w:r>
            <w:r>
              <w:rPr>
                <w:rFonts w:eastAsia="Arial"/>
                <w:lang w:val="en-GB"/>
              </w:rPr>
              <w:t xml:space="preserve"> </w:t>
            </w:r>
            <w:r>
              <w:rPr>
                <w:lang w:val="en-GB"/>
              </w:rPr>
              <w:t>/</w:t>
            </w:r>
          </w:p>
          <w:p>
            <w:pPr>
              <w:pStyle w:val="Titre1"/>
              <w:numPr>
                <w:ilvl w:val="0"/>
                <w:numId w:val="1"/>
              </w:numPr>
              <w:rPr>
                <w:i/>
                <w:iCs/>
                <w:lang w:val="en-GB"/>
              </w:rPr>
            </w:pPr>
            <w:r>
              <w:rPr>
                <w:i/>
                <w:iCs/>
                <w:lang w:val="en-GB"/>
              </w:rPr>
              <w:t>fax</w:t>
            </w:r>
            <w:r>
              <w:rPr>
                <w:rFonts w:eastAsia="Arial"/>
                <w:i/>
                <w:iCs/>
                <w:lang w:val="en-GB"/>
              </w:rPr>
              <w:t xml:space="preserve"> </w:t>
            </w:r>
            <w:r>
              <w:rPr>
                <w:i/>
                <w:iCs/>
                <w:lang w:val="en-GB"/>
              </w:rPr>
              <w:t>number</w:t>
            </w:r>
          </w:p>
        </w:tc>
        <w:tc>
          <w:tcPr>
            <w:tcW w:w="2580" w:type="dxa"/>
            <w:tcBorders>
              <w:top w:val="dotted" w:sz="4" w:space="0" w:color="000001"/>
              <w:left w:val="dotted" w:sz="4" w:space="0" w:color="000001"/>
              <w:bottom w:val="dotted" w:sz="4" w:space="0" w:color="000001"/>
              <w:insideH w:val="dotted" w:sz="4" w:space="0" w:color="000001"/>
              <w:right w:val="dotted" w:sz="4" w:space="0" w:color="000001"/>
              <w:insideV w:val="dotted" w:sz="4" w:space="0" w:color="000001"/>
            </w:tcBorders>
            <w:shd w:fill="auto" w:val="clear"/>
            <w:tcMar>
              <w:left w:w="65" w:type="dxa"/>
            </w:tcMar>
          </w:tcPr>
          <w:p>
            <w:pPr>
              <w:pStyle w:val="Titre1"/>
              <w:numPr>
                <w:ilvl w:val="0"/>
                <w:numId w:val="1"/>
              </w:numPr>
              <w:rPr>
                <w:color w:val="FF0000"/>
                <w:lang w:val="en-GB"/>
              </w:rPr>
            </w:pPr>
            <w:r>
              <w:rPr>
                <w:color w:val="FF0000"/>
                <w:lang w:val="en-GB"/>
              </w:rPr>
              <w:t>adresse</w:t>
            </w:r>
            <w:r>
              <w:rPr>
                <w:rFonts w:eastAsia="Arial"/>
                <w:color w:val="FF0000"/>
                <w:lang w:val="en-GB"/>
              </w:rPr>
              <w:t xml:space="preserve"> </w:t>
            </w:r>
            <w:r>
              <w:rPr>
                <w:color w:val="FF0000"/>
                <w:lang w:val="en-GB"/>
              </w:rPr>
              <w:t>mél</w:t>
            </w:r>
            <w:r>
              <w:rPr>
                <w:rFonts w:eastAsia="Arial"/>
                <w:color w:val="FF0000"/>
                <w:lang w:val="en-GB"/>
              </w:rPr>
              <w:t xml:space="preserve"> </w:t>
            </w:r>
            <w:r>
              <w:rPr>
                <w:color w:val="FF0000"/>
                <w:lang w:val="en-GB"/>
              </w:rPr>
              <w:t>/</w:t>
            </w:r>
          </w:p>
          <w:p>
            <w:pPr>
              <w:pStyle w:val="Titre1"/>
              <w:numPr>
                <w:ilvl w:val="0"/>
                <w:numId w:val="1"/>
              </w:numPr>
              <w:rPr>
                <w:i/>
                <w:iCs/>
                <w:color w:val="FF0000"/>
                <w:lang w:val="en-GB"/>
              </w:rPr>
            </w:pPr>
            <w:r>
              <w:rPr>
                <w:i/>
                <w:iCs/>
                <w:color w:val="FF0000"/>
                <w:lang w:val="en-GB"/>
              </w:rPr>
              <w:t>email</w:t>
            </w:r>
            <w:r>
              <w:rPr>
                <w:rFonts w:eastAsia="Arial"/>
                <w:i/>
                <w:iCs/>
                <w:color w:val="FF0000"/>
                <w:lang w:val="en-GB"/>
              </w:rPr>
              <w:t xml:space="preserve"> </w:t>
            </w:r>
            <w:r>
              <w:rPr>
                <w:i/>
                <w:iCs/>
                <w:color w:val="FF0000"/>
                <w:lang w:val="en-GB"/>
              </w:rPr>
              <w:t>address</w:t>
            </w:r>
          </w:p>
        </w:tc>
      </w:tr>
      <w:tr>
        <w:trPr>
          <w:trHeight w:val="1678" w:hRule="atLeast"/>
          <w:cantSplit w:val="false"/>
        </w:trPr>
        <w:tc>
          <w:tcPr>
            <w:tcW w:w="1502"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rPr>
                <w:b/>
                <w:bCs/>
              </w:rPr>
            </w:pPr>
            <w:r>
              <w:rPr>
                <w:b/>
                <w:bCs/>
                <w:lang w:val="en-GB"/>
              </w:rPr>
              <w:t>L</w:t>
            </w:r>
            <w:r>
              <w:rPr>
                <w:b/>
                <w:bCs/>
              </w:rPr>
              <w:t>EYNAERT</w:t>
            </w:r>
          </w:p>
          <w:p>
            <w:pPr>
              <w:pStyle w:val="Titre1"/>
              <w:numPr>
                <w:ilvl w:val="0"/>
                <w:numId w:val="1"/>
              </w:numPr>
              <w:rPr>
                <w:b/>
                <w:bCs/>
                <w:lang w:val="en-GB"/>
              </w:rPr>
            </w:pPr>
            <w:r>
              <w:rPr>
                <w:b/>
                <w:bCs/>
                <w:lang w:val="en-GB"/>
              </w:rPr>
              <w:t>Aude</w:t>
            </w:r>
          </w:p>
          <w:p>
            <w:pPr>
              <w:pStyle w:val="Normal"/>
              <w:rPr>
                <w:b/>
                <w:lang w:val="en-GB"/>
              </w:rPr>
            </w:pPr>
            <w:r>
              <w:rPr>
                <w:b/>
                <w:lang w:val="en-GB"/>
              </w:rPr>
            </w:r>
          </w:p>
          <w:p>
            <w:pPr>
              <w:pStyle w:val="Normal"/>
              <w:rPr>
                <w:b/>
              </w:rPr>
            </w:pPr>
            <w:r>
              <w:rPr>
                <w:b/>
              </w:rPr>
              <w:t>MORICEAU</w:t>
            </w:r>
          </w:p>
          <w:p>
            <w:pPr>
              <w:pStyle w:val="Normal"/>
              <w:rPr>
                <w:b/>
              </w:rPr>
            </w:pPr>
            <w:r>
              <w:rPr>
                <w:b/>
              </w:rPr>
              <w:t>Brivaëla</w:t>
            </w:r>
          </w:p>
        </w:tc>
        <w:tc>
          <w:tcPr>
            <w:tcW w:w="2079"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sz w:val="16"/>
                <w:szCs w:val="16"/>
                <w:lang w:val="fr-FR"/>
              </w:rPr>
            </w:pPr>
            <w:r>
              <w:rPr>
                <w:sz w:val="16"/>
                <w:szCs w:val="16"/>
              </w:rPr>
              <w:t>L</w:t>
            </w:r>
            <w:r>
              <w:rPr>
                <w:sz w:val="16"/>
                <w:szCs w:val="16"/>
                <w:lang w:val="fr-FR"/>
              </w:rPr>
              <w:t xml:space="preserve">aboratoire des sciences de l'environnement marin LEMAR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sz w:val="16"/>
                <w:szCs w:val="16"/>
                <w:lang w:val="fr-FR"/>
              </w:rPr>
            </w:pPr>
            <w:r>
              <w:rPr>
                <w:sz w:val="16"/>
                <w:szCs w:val="16"/>
                <w:lang w:val="fr-FR"/>
              </w:rPr>
              <w:t>UMR 6539 UBO/CNRS/Ifremer/IRD</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sz w:val="16"/>
                <w:szCs w:val="16"/>
                <w:lang w:val="fr-FR"/>
              </w:rPr>
            </w:pPr>
            <w:r>
              <w:rPr>
                <w:sz w:val="16"/>
                <w:szCs w:val="16"/>
                <w:lang w:val="fr-FR"/>
              </w:rPr>
              <w:t>Institut Universitaire Européen de la Mer (IUEM)</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sz w:val="16"/>
                <w:szCs w:val="16"/>
                <w:lang w:val="fr-FR"/>
              </w:rPr>
            </w:pPr>
            <w:r>
              <w:rPr>
                <w:sz w:val="16"/>
                <w:szCs w:val="16"/>
                <w:lang w:val="fr-FR"/>
              </w:rPr>
              <w:t>Technopole Brest Iroise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sz w:val="16"/>
                <w:szCs w:val="16"/>
                <w:lang w:val="fr-FR"/>
              </w:rPr>
            </w:pPr>
            <w:r>
              <w:rPr>
                <w:sz w:val="16"/>
                <w:szCs w:val="16"/>
                <w:lang w:val="fr-FR"/>
              </w:rPr>
              <w:t>Rue durmont d'Urville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sz w:val="16"/>
                <w:szCs w:val="16"/>
                <w:lang w:val="fr-FR"/>
              </w:rPr>
            </w:pPr>
            <w:r>
              <w:rPr>
                <w:sz w:val="16"/>
                <w:szCs w:val="16"/>
                <w:lang w:val="fr-FR"/>
              </w:rPr>
              <w:t>29280 Plouzané</w:t>
            </w:r>
          </w:p>
        </w:tc>
        <w:tc>
          <w:tcPr>
            <w:tcW w:w="1799"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rPr>
                <w:b/>
                <w:sz w:val="16"/>
                <w:szCs w:val="16"/>
                <w:lang w:val="en-GB"/>
              </w:rPr>
            </w:pPr>
            <w:r>
              <w:rPr>
                <w:b/>
                <w:sz w:val="16"/>
                <w:szCs w:val="16"/>
                <w:lang w:val="en-GB"/>
              </w:rPr>
              <w:t>00 33 (0)2</w:t>
            </w:r>
            <w:r>
              <w:rPr>
                <w:b/>
                <w:sz w:val="16"/>
                <w:szCs w:val="16"/>
              </w:rPr>
              <w:t xml:space="preserve"> </w:t>
            </w:r>
            <w:r>
              <w:rPr>
                <w:b/>
                <w:sz w:val="16"/>
                <w:szCs w:val="16"/>
                <w:lang w:val="en-GB"/>
              </w:rPr>
              <w:t>98</w:t>
            </w:r>
            <w:r>
              <w:rPr>
                <w:b/>
                <w:sz w:val="16"/>
                <w:szCs w:val="16"/>
              </w:rPr>
              <w:t xml:space="preserve"> </w:t>
            </w:r>
            <w:r>
              <w:rPr>
                <w:b/>
                <w:sz w:val="16"/>
                <w:szCs w:val="16"/>
                <w:lang w:val="en-GB"/>
              </w:rPr>
              <w:t>49</w:t>
            </w:r>
            <w:r>
              <w:rPr>
                <w:b/>
                <w:sz w:val="16"/>
                <w:szCs w:val="16"/>
              </w:rPr>
              <w:t xml:space="preserve"> </w:t>
            </w:r>
            <w:r>
              <w:rPr>
                <w:b/>
                <w:sz w:val="16"/>
                <w:szCs w:val="16"/>
                <w:lang w:val="en-GB"/>
              </w:rPr>
              <w:t>86</w:t>
            </w:r>
            <w:r>
              <w:rPr>
                <w:b/>
                <w:sz w:val="16"/>
                <w:szCs w:val="16"/>
              </w:rPr>
              <w:t xml:space="preserve"> </w:t>
            </w:r>
            <w:r>
              <w:rPr>
                <w:b/>
                <w:sz w:val="16"/>
                <w:szCs w:val="16"/>
                <w:lang w:val="en-GB"/>
              </w:rPr>
              <w:t>57</w:t>
            </w:r>
          </w:p>
        </w:tc>
        <w:tc>
          <w:tcPr>
            <w:tcW w:w="1809"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HTMLPreformatted"/>
              <w:rPr>
                <w:rFonts w:cs="Times New Roman" w:ascii="Times New Roman" w:hAnsi="Times New Roman"/>
                <w:sz w:val="16"/>
                <w:szCs w:val="16"/>
              </w:rPr>
            </w:pPr>
            <w:r>
              <w:rPr>
                <w:rFonts w:cs="Times New Roman" w:ascii="Times New Roman" w:hAnsi="Times New Roman"/>
                <w:sz w:val="16"/>
                <w:szCs w:val="16"/>
              </w:rPr>
              <w:t>(0033)(0)29849 8645</w:t>
            </w:r>
          </w:p>
          <w:p>
            <w:pPr>
              <w:pStyle w:val="Titre1"/>
              <w:numPr>
                <w:ilvl w:val="0"/>
                <w:numId w:val="1"/>
              </w:numPr>
              <w:rPr>
                <w:b/>
                <w:lang w:val="en-GB"/>
              </w:rPr>
            </w:pPr>
            <w:r>
              <w:rPr>
                <w:b/>
                <w:lang w:val="en-GB"/>
              </w:rPr>
            </w:r>
          </w:p>
        </w:tc>
        <w:tc>
          <w:tcPr>
            <w:tcW w:w="2580" w:type="dxa"/>
            <w:tcBorders>
              <w:top w:val="dotted" w:sz="4" w:space="0" w:color="000001"/>
              <w:left w:val="dotted" w:sz="4" w:space="0" w:color="000001"/>
              <w:bottom w:val="dotted" w:sz="4" w:space="0" w:color="000001"/>
              <w:insideH w:val="dotted" w:sz="4" w:space="0" w:color="000001"/>
              <w:right w:val="dotted" w:sz="4" w:space="0" w:color="000001"/>
              <w:insideV w:val="dotted" w:sz="4" w:space="0" w:color="000001"/>
            </w:tcBorders>
            <w:shd w:fill="auto" w:val="clear"/>
            <w:tcMar>
              <w:left w:w="65" w:type="dxa"/>
            </w:tcMar>
          </w:tcPr>
          <w:p>
            <w:pPr>
              <w:pStyle w:val="Titre1"/>
              <w:numPr>
                <w:ilvl w:val="0"/>
                <w:numId w:val="1"/>
              </w:numPr>
              <w:rPr>
                <w:rStyle w:val="LienInternet"/>
                <w:lang w:val="en-GB"/>
              </w:rPr>
            </w:pPr>
            <w:hyperlink r:id="rId2">
              <w:r>
                <w:rPr>
                  <w:rStyle w:val="LienInternet"/>
                  <w:lang w:val="en-GB"/>
                </w:rPr>
                <w:t>aude.leynaert@univ-brest.fr</w:t>
              </w:r>
            </w:hyperlink>
          </w:p>
          <w:p>
            <w:pPr>
              <w:pStyle w:val="Normal"/>
              <w:rPr>
                <w:lang w:val="en-GB"/>
              </w:rPr>
            </w:pPr>
            <w:r>
              <w:rPr>
                <w:lang w:val="en-GB"/>
              </w:rPr>
              <w:t>brivaela.moriceau@univ-brest.fr</w:t>
            </w:r>
          </w:p>
        </w:tc>
      </w:tr>
      <w:tr>
        <w:trPr>
          <w:cantSplit w:val="false"/>
        </w:trPr>
        <w:tc>
          <w:tcPr>
            <w:tcW w:w="1502"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rPr>
                <w:b/>
                <w:bCs/>
              </w:rPr>
            </w:pPr>
            <w:r>
              <w:rPr>
                <w:b/>
                <w:bCs/>
              </w:rPr>
              <w:t>LEBLANC</w:t>
            </w:r>
          </w:p>
          <w:p>
            <w:pPr>
              <w:pStyle w:val="Titre1"/>
              <w:numPr>
                <w:ilvl w:val="0"/>
                <w:numId w:val="1"/>
              </w:numPr>
              <w:rPr>
                <w:b/>
                <w:bCs/>
              </w:rPr>
            </w:pPr>
            <w:r>
              <w:rPr>
                <w:b/>
                <w:bCs/>
              </w:rPr>
              <w:t>Karine</w:t>
            </w:r>
          </w:p>
          <w:p>
            <w:pPr>
              <w:pStyle w:val="Normal"/>
              <w:rPr>
                <w:b/>
              </w:rPr>
            </w:pPr>
            <w:r>
              <w:rPr>
                <w:b/>
              </w:rPr>
            </w:r>
          </w:p>
          <w:p>
            <w:pPr>
              <w:pStyle w:val="Normal"/>
              <w:rPr>
                <w:b/>
              </w:rPr>
            </w:pPr>
            <w:r>
              <w:rPr>
                <w:b/>
              </w:rPr>
              <w:t>QUEGUINER Bernard</w:t>
            </w:r>
          </w:p>
        </w:tc>
        <w:tc>
          <w:tcPr>
            <w:tcW w:w="2079"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ind w:left="12" w:right="0" w:hanging="12"/>
              <w:rPr>
                <w:sz w:val="16"/>
                <w:szCs w:val="16"/>
              </w:rPr>
            </w:pPr>
            <w:r>
              <w:rPr>
                <w:sz w:val="16"/>
                <w:szCs w:val="16"/>
              </w:rPr>
              <w:t>MIO UMR 7294 Campus de Luminy, batiment OCEANOMED, 13009 Marseille</w:t>
            </w:r>
          </w:p>
        </w:tc>
        <w:tc>
          <w:tcPr>
            <w:tcW w:w="1799"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rPr>
                <w:b/>
                <w:bCs/>
                <w:sz w:val="16"/>
                <w:szCs w:val="16"/>
              </w:rPr>
            </w:pPr>
            <w:r>
              <w:rPr>
                <w:b/>
                <w:bCs/>
                <w:sz w:val="16"/>
                <w:szCs w:val="16"/>
                <w:lang w:val="en-GB"/>
              </w:rPr>
              <w:t>00 33 (0)</w:t>
            </w:r>
            <w:r>
              <w:rPr>
                <w:b/>
                <w:bCs/>
                <w:sz w:val="16"/>
                <w:szCs w:val="16"/>
              </w:rPr>
              <w:t>4 86 09 05</w:t>
            </w:r>
            <w:r>
              <w:rPr>
                <w:b/>
                <w:bCs/>
                <w:sz w:val="16"/>
                <w:szCs w:val="16"/>
                <w:lang w:val="en-GB"/>
              </w:rPr>
              <w:t>7</w:t>
            </w:r>
            <w:r>
              <w:rPr>
                <w:b/>
                <w:bCs/>
                <w:sz w:val="16"/>
                <w:szCs w:val="16"/>
              </w:rPr>
              <w:t>2</w:t>
            </w:r>
          </w:p>
          <w:p>
            <w:pPr>
              <w:pStyle w:val="Normal"/>
              <w:rPr>
                <w:b/>
                <w:sz w:val="16"/>
                <w:szCs w:val="16"/>
                <w:lang w:val="en-GB"/>
              </w:rPr>
            </w:pPr>
            <w:r>
              <w:rPr>
                <w:b/>
                <w:sz w:val="16"/>
                <w:szCs w:val="16"/>
                <w:lang w:val="en-GB"/>
              </w:rPr>
            </w:r>
          </w:p>
          <w:p>
            <w:pPr>
              <w:pStyle w:val="Normal"/>
              <w:rPr>
                <w:b/>
                <w:sz w:val="16"/>
                <w:szCs w:val="16"/>
                <w:lang w:val="en-GB"/>
              </w:rPr>
            </w:pPr>
            <w:r>
              <w:rPr>
                <w:b/>
                <w:sz w:val="16"/>
                <w:szCs w:val="16"/>
                <w:lang w:val="en-GB"/>
              </w:rPr>
            </w:r>
          </w:p>
          <w:p>
            <w:pPr>
              <w:pStyle w:val="Normal"/>
              <w:rPr>
                <w:b/>
                <w:sz w:val="16"/>
                <w:szCs w:val="16"/>
                <w:lang w:val="en-GB"/>
              </w:rPr>
            </w:pPr>
            <w:r>
              <w:rPr>
                <w:b/>
                <w:sz w:val="16"/>
                <w:szCs w:val="16"/>
                <w:lang w:val="en-GB"/>
              </w:rPr>
            </w:r>
          </w:p>
          <w:p>
            <w:pPr>
              <w:pStyle w:val="Normal"/>
              <w:rPr>
                <w:b/>
                <w:sz w:val="16"/>
                <w:szCs w:val="16"/>
              </w:rPr>
            </w:pPr>
            <w:r>
              <w:rPr>
                <w:b/>
                <w:sz w:val="16"/>
                <w:szCs w:val="16"/>
                <w:lang w:val="en-GB"/>
              </w:rPr>
              <w:t>00 33 (0)</w:t>
            </w:r>
            <w:r>
              <w:rPr>
                <w:b/>
                <w:sz w:val="16"/>
                <w:szCs w:val="16"/>
              </w:rPr>
              <w:t>4 86 09 05 68</w:t>
            </w:r>
          </w:p>
        </w:tc>
        <w:tc>
          <w:tcPr>
            <w:tcW w:w="1809"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rPr>
                <w:b/>
                <w:lang w:val="en-GB"/>
              </w:rPr>
            </w:pPr>
            <w:r>
              <w:rPr>
                <w:b/>
                <w:lang w:val="en-GB"/>
              </w:rPr>
            </w:r>
          </w:p>
        </w:tc>
        <w:tc>
          <w:tcPr>
            <w:tcW w:w="2580" w:type="dxa"/>
            <w:tcBorders>
              <w:top w:val="dotted" w:sz="4" w:space="0" w:color="000001"/>
              <w:left w:val="dotted" w:sz="4" w:space="0" w:color="000001"/>
              <w:bottom w:val="dotted" w:sz="4" w:space="0" w:color="000001"/>
              <w:insideH w:val="dotted" w:sz="4" w:space="0" w:color="000001"/>
              <w:right w:val="dotted" w:sz="4" w:space="0" w:color="000001"/>
              <w:insideV w:val="dotted" w:sz="4" w:space="0" w:color="000001"/>
            </w:tcBorders>
            <w:shd w:fill="auto" w:val="clear"/>
            <w:tcMar>
              <w:left w:w="65" w:type="dxa"/>
            </w:tcMar>
          </w:tcPr>
          <w:p>
            <w:pPr>
              <w:pStyle w:val="Titre1"/>
              <w:numPr>
                <w:ilvl w:val="0"/>
                <w:numId w:val="1"/>
              </w:numPr>
              <w:rPr>
                <w:rStyle w:val="LienInternet"/>
              </w:rPr>
            </w:pPr>
            <w:hyperlink r:id="rId3">
              <w:r>
                <w:rPr>
                  <w:rStyle w:val="LienInternet"/>
                </w:rPr>
                <w:t>karine.leblanc@univ-amu.fr</w:t>
              </w:r>
            </w:hyperlink>
          </w:p>
          <w:p>
            <w:pPr>
              <w:pStyle w:val="Normal"/>
              <w:rPr>
                <w:lang w:val="en-GB"/>
              </w:rPr>
            </w:pPr>
            <w:r>
              <w:rPr>
                <w:lang w:val="en-GB"/>
              </w:rPr>
            </w:r>
          </w:p>
          <w:p>
            <w:pPr>
              <w:pStyle w:val="Normal"/>
              <w:rPr>
                <w:lang w:val="en-GB"/>
              </w:rPr>
            </w:pPr>
            <w:r>
              <w:rPr>
                <w:lang w:val="en-GB"/>
              </w:rPr>
            </w:r>
          </w:p>
          <w:p>
            <w:pPr>
              <w:pStyle w:val="Normal"/>
              <w:rPr>
                <w:lang w:val="en-GB"/>
              </w:rPr>
            </w:pPr>
            <w:r>
              <w:rPr>
                <w:lang w:val="en-GB"/>
              </w:rPr>
              <w:t>bernard.queguiner@univ-amu.fr</w:t>
            </w:r>
          </w:p>
        </w:tc>
      </w:tr>
    </w:tbl>
    <w:p>
      <w:pPr>
        <w:pStyle w:val="Titre3"/>
        <w:numPr>
          <w:ilvl w:val="0"/>
          <w:numId w:val="2"/>
        </w:numPr>
        <w:pBdr>
          <w:top w:val="nil"/>
          <w:left w:val="nil"/>
          <w:bottom w:val="single" w:sz="4" w:space="1" w:color="000001"/>
          <w:right w:val="nil"/>
        </w:pBdr>
        <w:tabs>
          <w:tab w:val="left" w:pos="0" w:leader="none"/>
          <w:tab w:val="left" w:pos="360" w:leader="none"/>
        </w:tabs>
        <w:rPr>
          <w:rFonts w:eastAsia="Arial"/>
        </w:rPr>
      </w:pPr>
      <w:r>
        <w:rPr>
          <w:rFonts w:eastAsia="Arial"/>
        </w:rPr>
        <w:t xml:space="preserve">DATASET contact </w:t>
      </w:r>
    </w:p>
    <w:tbl>
      <w:tblPr>
        <w:jc w:val="left"/>
        <w:tblInd w:w="70" w:type="dxa"/>
        <w:tblBorders>
          <w:top w:val="dotted" w:sz="4" w:space="0" w:color="000001"/>
          <w:left w:val="dotted" w:sz="4" w:space="0" w:color="000001"/>
          <w:bottom w:val="dotted" w:sz="4" w:space="0" w:color="000001"/>
          <w:insideH w:val="dotted" w:sz="4" w:space="0" w:color="000001"/>
          <w:right w:val="nil"/>
          <w:insideV w:val="nil"/>
        </w:tblBorders>
        <w:tblCellMar>
          <w:top w:w="0" w:type="dxa"/>
          <w:left w:w="65" w:type="dxa"/>
          <w:bottom w:w="0" w:type="dxa"/>
          <w:right w:w="70" w:type="dxa"/>
        </w:tblCellMar>
      </w:tblPr>
      <w:tblGrid>
        <w:gridCol w:w="1468"/>
        <w:gridCol w:w="2112"/>
        <w:gridCol w:w="1799"/>
        <w:gridCol w:w="1809"/>
        <w:gridCol w:w="2581"/>
      </w:tblGrid>
      <w:tr>
        <w:trPr>
          <w:cantSplit w:val="false"/>
        </w:trPr>
        <w:tc>
          <w:tcPr>
            <w:tcW w:w="1468"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rPr>
                <w:color w:val="FF0000"/>
                <w:lang w:val="de-DE"/>
              </w:rPr>
            </w:pPr>
            <w:r>
              <w:rPr>
                <w:color w:val="FF0000"/>
                <w:lang w:val="de-DE"/>
              </w:rPr>
              <w:t>Nom</w:t>
            </w:r>
            <w:r>
              <w:rPr>
                <w:rFonts w:eastAsia="Arial"/>
                <w:color w:val="FF0000"/>
                <w:lang w:val="de-DE"/>
              </w:rPr>
              <w:t xml:space="preserve"> </w:t>
            </w:r>
            <w:r>
              <w:rPr>
                <w:color w:val="FF0000"/>
                <w:lang w:val="de-DE"/>
              </w:rPr>
              <w:t>/</w:t>
            </w:r>
          </w:p>
          <w:p>
            <w:pPr>
              <w:pStyle w:val="Normal"/>
              <w:rPr>
                <w:i/>
                <w:iCs/>
                <w:color w:val="FF0000"/>
                <w:lang w:val="de-DE"/>
              </w:rPr>
            </w:pPr>
            <w:r>
              <w:rPr>
                <w:i/>
                <w:iCs/>
                <w:color w:val="FF0000"/>
                <w:lang w:val="de-DE"/>
              </w:rPr>
              <w:t>name</w:t>
            </w:r>
          </w:p>
        </w:tc>
        <w:tc>
          <w:tcPr>
            <w:tcW w:w="2112"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rPr>
                <w:rFonts w:eastAsia="Arial"/>
                <w:lang w:val="de-DE"/>
              </w:rPr>
            </w:pPr>
            <w:r>
              <w:rPr>
                <w:lang w:val="de-DE"/>
              </w:rPr>
              <w:t>adresse</w:t>
            </w:r>
            <w:r>
              <w:rPr>
                <w:rFonts w:eastAsia="Arial"/>
                <w:lang w:val="de-DE"/>
              </w:rPr>
              <w:t xml:space="preserve"> </w:t>
            </w:r>
            <w:r>
              <w:rPr>
                <w:lang w:val="de-DE"/>
              </w:rPr>
              <w:t>/</w:t>
            </w:r>
            <w:r>
              <w:rPr>
                <w:rFonts w:eastAsia="Arial"/>
                <w:lang w:val="de-DE"/>
              </w:rPr>
              <w:t xml:space="preserve"> </w:t>
            </w:r>
          </w:p>
          <w:p>
            <w:pPr>
              <w:pStyle w:val="Titre1"/>
              <w:numPr>
                <w:ilvl w:val="0"/>
                <w:numId w:val="1"/>
              </w:numPr>
              <w:rPr>
                <w:i/>
                <w:iCs/>
                <w:lang w:val="en-GB"/>
              </w:rPr>
            </w:pPr>
            <w:r>
              <w:rPr>
                <w:i/>
                <w:iCs/>
                <w:lang w:val="en-GB"/>
              </w:rPr>
              <w:t>address</w:t>
            </w:r>
          </w:p>
        </w:tc>
        <w:tc>
          <w:tcPr>
            <w:tcW w:w="1799"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rPr>
                <w:i/>
                <w:iCs/>
                <w:lang w:val="en-GB"/>
              </w:rPr>
            </w:pPr>
            <w:r>
              <w:rPr>
                <w:lang w:val="en-GB"/>
              </w:rPr>
              <w:t>téléphone</w:t>
            </w:r>
            <w:r>
              <w:rPr>
                <w:rFonts w:eastAsia="Arial"/>
                <w:lang w:val="en-GB"/>
              </w:rPr>
              <w:t xml:space="preserve"> </w:t>
            </w:r>
            <w:r>
              <w:rPr>
                <w:lang w:val="en-GB"/>
              </w:rPr>
              <w:t>/</w:t>
            </w:r>
            <w:r>
              <w:rPr>
                <w:rFonts w:eastAsia="Arial"/>
                <w:lang w:val="en-GB"/>
              </w:rPr>
              <w:t xml:space="preserve"> </w:t>
            </w:r>
            <w:r>
              <w:rPr>
                <w:i/>
                <w:iCs/>
                <w:lang w:val="en-GB"/>
              </w:rPr>
              <w:t>phone</w:t>
            </w:r>
            <w:r>
              <w:rPr>
                <w:rFonts w:eastAsia="Arial"/>
                <w:i/>
                <w:iCs/>
                <w:lang w:val="en-GB"/>
              </w:rPr>
              <w:t xml:space="preserve"> </w:t>
            </w:r>
            <w:r>
              <w:rPr>
                <w:i/>
                <w:iCs/>
                <w:lang w:val="en-GB"/>
              </w:rPr>
              <w:t>number</w:t>
            </w:r>
          </w:p>
        </w:tc>
        <w:tc>
          <w:tcPr>
            <w:tcW w:w="1809"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rPr>
                <w:lang w:val="en-GB"/>
              </w:rPr>
            </w:pPr>
            <w:r>
              <w:rPr>
                <w:lang w:val="en-GB"/>
              </w:rPr>
              <w:t>fax</w:t>
            </w:r>
            <w:r>
              <w:rPr>
                <w:rFonts w:eastAsia="Arial"/>
                <w:lang w:val="en-GB"/>
              </w:rPr>
              <w:t xml:space="preserve"> </w:t>
            </w:r>
            <w:r>
              <w:rPr>
                <w:lang w:val="en-GB"/>
              </w:rPr>
              <w:t>/</w:t>
            </w:r>
          </w:p>
          <w:p>
            <w:pPr>
              <w:pStyle w:val="Titre1"/>
              <w:numPr>
                <w:ilvl w:val="0"/>
                <w:numId w:val="1"/>
              </w:numPr>
              <w:rPr>
                <w:i/>
                <w:iCs/>
                <w:lang w:val="en-GB"/>
              </w:rPr>
            </w:pPr>
            <w:r>
              <w:rPr>
                <w:i/>
                <w:iCs/>
                <w:lang w:val="en-GB"/>
              </w:rPr>
              <w:t>fax</w:t>
            </w:r>
            <w:r>
              <w:rPr>
                <w:rFonts w:eastAsia="Arial"/>
                <w:i/>
                <w:iCs/>
                <w:lang w:val="en-GB"/>
              </w:rPr>
              <w:t xml:space="preserve"> </w:t>
            </w:r>
            <w:r>
              <w:rPr>
                <w:i/>
                <w:iCs/>
                <w:lang w:val="en-GB"/>
              </w:rPr>
              <w:t>number</w:t>
            </w:r>
          </w:p>
        </w:tc>
        <w:tc>
          <w:tcPr>
            <w:tcW w:w="2581" w:type="dxa"/>
            <w:tcBorders>
              <w:top w:val="dotted" w:sz="4" w:space="0" w:color="000001"/>
              <w:left w:val="dotted" w:sz="4" w:space="0" w:color="000001"/>
              <w:bottom w:val="dotted" w:sz="4" w:space="0" w:color="000001"/>
              <w:insideH w:val="dotted" w:sz="4" w:space="0" w:color="000001"/>
              <w:right w:val="dotted" w:sz="4" w:space="0" w:color="000001"/>
              <w:insideV w:val="dotted" w:sz="4" w:space="0" w:color="000001"/>
            </w:tcBorders>
            <w:shd w:fill="auto" w:val="clear"/>
            <w:tcMar>
              <w:left w:w="65" w:type="dxa"/>
            </w:tcMar>
          </w:tcPr>
          <w:p>
            <w:pPr>
              <w:pStyle w:val="Titre1"/>
              <w:numPr>
                <w:ilvl w:val="0"/>
                <w:numId w:val="1"/>
              </w:numPr>
              <w:rPr>
                <w:color w:val="FF0000"/>
                <w:lang w:val="en-GB"/>
              </w:rPr>
            </w:pPr>
            <w:r>
              <w:rPr>
                <w:color w:val="FF0000"/>
                <w:lang w:val="en-GB"/>
              </w:rPr>
              <w:t>adresse</w:t>
            </w:r>
            <w:r>
              <w:rPr>
                <w:rFonts w:eastAsia="Arial"/>
                <w:color w:val="FF0000"/>
                <w:lang w:val="en-GB"/>
              </w:rPr>
              <w:t xml:space="preserve"> </w:t>
            </w:r>
            <w:r>
              <w:rPr>
                <w:color w:val="FF0000"/>
                <w:lang w:val="en-GB"/>
              </w:rPr>
              <w:t>mél</w:t>
            </w:r>
            <w:r>
              <w:rPr>
                <w:rFonts w:eastAsia="Arial"/>
                <w:color w:val="FF0000"/>
                <w:lang w:val="en-GB"/>
              </w:rPr>
              <w:t xml:space="preserve"> </w:t>
            </w:r>
            <w:r>
              <w:rPr>
                <w:color w:val="FF0000"/>
                <w:lang w:val="en-GB"/>
              </w:rPr>
              <w:t>/</w:t>
            </w:r>
          </w:p>
          <w:p>
            <w:pPr>
              <w:pStyle w:val="Titre1"/>
              <w:numPr>
                <w:ilvl w:val="0"/>
                <w:numId w:val="1"/>
              </w:numPr>
              <w:rPr>
                <w:i/>
                <w:iCs/>
                <w:color w:val="FF0000"/>
                <w:lang w:val="en-GB"/>
              </w:rPr>
            </w:pPr>
            <w:r>
              <w:rPr>
                <w:i/>
                <w:iCs/>
                <w:color w:val="FF0000"/>
                <w:lang w:val="en-GB"/>
              </w:rPr>
              <w:t>email</w:t>
            </w:r>
            <w:r>
              <w:rPr>
                <w:rFonts w:eastAsia="Arial"/>
                <w:i/>
                <w:iCs/>
                <w:color w:val="FF0000"/>
                <w:lang w:val="en-GB"/>
              </w:rPr>
              <w:t xml:space="preserve"> </w:t>
            </w:r>
            <w:r>
              <w:rPr>
                <w:i/>
                <w:iCs/>
                <w:color w:val="FF0000"/>
                <w:lang w:val="en-GB"/>
              </w:rPr>
              <w:t>address</w:t>
            </w:r>
          </w:p>
        </w:tc>
      </w:tr>
      <w:tr>
        <w:trPr>
          <w:trHeight w:val="1678" w:hRule="atLeast"/>
          <w:cantSplit w:val="false"/>
        </w:trPr>
        <w:tc>
          <w:tcPr>
            <w:tcW w:w="1468"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rPr>
                <w:b/>
                <w:bCs/>
              </w:rPr>
            </w:pPr>
            <w:r>
              <w:rPr>
                <w:b/>
                <w:bCs/>
                <w:lang w:val="en-GB"/>
              </w:rPr>
              <w:t>L</w:t>
            </w:r>
            <w:r>
              <w:rPr>
                <w:b/>
                <w:bCs/>
              </w:rPr>
              <w:t>EYNAERT</w:t>
            </w:r>
          </w:p>
          <w:p>
            <w:pPr>
              <w:pStyle w:val="Titre1"/>
              <w:numPr>
                <w:ilvl w:val="0"/>
                <w:numId w:val="1"/>
              </w:numPr>
              <w:rPr>
                <w:b/>
                <w:bCs/>
                <w:lang w:val="en-GB"/>
              </w:rPr>
            </w:pPr>
            <w:r>
              <w:rPr>
                <w:b/>
                <w:bCs/>
                <w:lang w:val="en-GB"/>
              </w:rPr>
              <w:t>Aude</w:t>
            </w:r>
          </w:p>
          <w:p>
            <w:pPr>
              <w:pStyle w:val="Normal"/>
              <w:rPr>
                <w:b/>
                <w:lang w:val="en-GB"/>
              </w:rPr>
            </w:pPr>
            <w:r>
              <w:rPr>
                <w:b/>
                <w:lang w:val="en-GB"/>
              </w:rPr>
            </w:r>
          </w:p>
          <w:p>
            <w:pPr>
              <w:pStyle w:val="Normal"/>
              <w:rPr>
                <w:b/>
              </w:rPr>
            </w:pPr>
            <w:r>
              <w:rPr>
                <w:b/>
              </w:rPr>
            </w:r>
          </w:p>
        </w:tc>
        <w:tc>
          <w:tcPr>
            <w:tcW w:w="2112"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sz w:val="16"/>
                <w:szCs w:val="16"/>
                <w:lang w:val="fr-FR"/>
              </w:rPr>
            </w:pPr>
            <w:r>
              <w:rPr>
                <w:sz w:val="16"/>
                <w:szCs w:val="16"/>
              </w:rPr>
              <w:t>L</w:t>
            </w:r>
            <w:r>
              <w:rPr>
                <w:sz w:val="16"/>
                <w:szCs w:val="16"/>
                <w:lang w:val="fr-FR"/>
              </w:rPr>
              <w:t xml:space="preserve">aboratoire des sciences de l'environnement marin LEMAR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sz w:val="16"/>
                <w:szCs w:val="16"/>
                <w:lang w:val="fr-FR"/>
              </w:rPr>
            </w:pPr>
            <w:r>
              <w:rPr>
                <w:sz w:val="16"/>
                <w:szCs w:val="16"/>
                <w:lang w:val="fr-FR"/>
              </w:rPr>
              <w:t>UMR 6539 UBO/CNRS/Ifremer/IRD</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sz w:val="16"/>
                <w:szCs w:val="16"/>
                <w:lang w:val="fr-FR"/>
              </w:rPr>
            </w:pPr>
            <w:r>
              <w:rPr>
                <w:sz w:val="16"/>
                <w:szCs w:val="16"/>
                <w:lang w:val="fr-FR"/>
              </w:rPr>
              <w:t>Institut Universitaire Européen de la Mer (IUEM)</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sz w:val="16"/>
                <w:szCs w:val="16"/>
                <w:lang w:val="fr-FR"/>
              </w:rPr>
            </w:pPr>
            <w:r>
              <w:rPr>
                <w:sz w:val="16"/>
                <w:szCs w:val="16"/>
                <w:lang w:val="fr-FR"/>
              </w:rPr>
              <w:t>Technopole Brest Iroise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sz w:val="16"/>
                <w:szCs w:val="16"/>
                <w:lang w:val="fr-FR"/>
              </w:rPr>
            </w:pPr>
            <w:r>
              <w:rPr>
                <w:sz w:val="16"/>
                <w:szCs w:val="16"/>
                <w:lang w:val="fr-FR"/>
              </w:rPr>
              <w:t>Rue durmont d'Urville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sz w:val="16"/>
                <w:szCs w:val="16"/>
                <w:lang w:val="fr-FR"/>
              </w:rPr>
            </w:pPr>
            <w:r>
              <w:rPr>
                <w:sz w:val="16"/>
                <w:szCs w:val="16"/>
                <w:lang w:val="fr-FR"/>
              </w:rPr>
              <w:t>29280 Plouzané</w:t>
            </w:r>
          </w:p>
        </w:tc>
        <w:tc>
          <w:tcPr>
            <w:tcW w:w="1799"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rPr>
                <w:b/>
                <w:sz w:val="16"/>
                <w:szCs w:val="16"/>
                <w:lang w:val="en-GB"/>
              </w:rPr>
            </w:pPr>
            <w:r>
              <w:rPr>
                <w:b/>
                <w:sz w:val="16"/>
                <w:szCs w:val="16"/>
                <w:lang w:val="en-GB"/>
              </w:rPr>
              <w:t>00 33 (0)2</w:t>
            </w:r>
            <w:r>
              <w:rPr>
                <w:b/>
                <w:sz w:val="16"/>
                <w:szCs w:val="16"/>
              </w:rPr>
              <w:t xml:space="preserve"> </w:t>
            </w:r>
            <w:r>
              <w:rPr>
                <w:b/>
                <w:sz w:val="16"/>
                <w:szCs w:val="16"/>
                <w:lang w:val="en-GB"/>
              </w:rPr>
              <w:t>98</w:t>
            </w:r>
            <w:r>
              <w:rPr>
                <w:b/>
                <w:sz w:val="16"/>
                <w:szCs w:val="16"/>
              </w:rPr>
              <w:t xml:space="preserve"> </w:t>
            </w:r>
            <w:r>
              <w:rPr>
                <w:b/>
                <w:sz w:val="16"/>
                <w:szCs w:val="16"/>
                <w:lang w:val="en-GB"/>
              </w:rPr>
              <w:t>49</w:t>
            </w:r>
            <w:r>
              <w:rPr>
                <w:b/>
                <w:sz w:val="16"/>
                <w:szCs w:val="16"/>
              </w:rPr>
              <w:t xml:space="preserve"> </w:t>
            </w:r>
            <w:r>
              <w:rPr>
                <w:b/>
                <w:sz w:val="16"/>
                <w:szCs w:val="16"/>
                <w:lang w:val="en-GB"/>
              </w:rPr>
              <w:t>86</w:t>
            </w:r>
            <w:r>
              <w:rPr>
                <w:b/>
                <w:sz w:val="16"/>
                <w:szCs w:val="16"/>
              </w:rPr>
              <w:t xml:space="preserve"> </w:t>
            </w:r>
            <w:r>
              <w:rPr>
                <w:b/>
                <w:sz w:val="16"/>
                <w:szCs w:val="16"/>
                <w:lang w:val="en-GB"/>
              </w:rPr>
              <w:t>57</w:t>
            </w:r>
          </w:p>
        </w:tc>
        <w:tc>
          <w:tcPr>
            <w:tcW w:w="1809"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HTMLPreformatted"/>
              <w:rPr>
                <w:rFonts w:cs="Times New Roman" w:ascii="Times New Roman" w:hAnsi="Times New Roman"/>
                <w:sz w:val="16"/>
                <w:szCs w:val="16"/>
              </w:rPr>
            </w:pPr>
            <w:r>
              <w:rPr>
                <w:rFonts w:cs="Times New Roman" w:ascii="Times New Roman" w:hAnsi="Times New Roman"/>
                <w:sz w:val="16"/>
                <w:szCs w:val="16"/>
              </w:rPr>
              <w:t>(0033)(0)29849 8645</w:t>
            </w:r>
          </w:p>
          <w:p>
            <w:pPr>
              <w:pStyle w:val="Titre1"/>
              <w:numPr>
                <w:ilvl w:val="0"/>
                <w:numId w:val="1"/>
              </w:numPr>
              <w:rPr>
                <w:b/>
                <w:lang w:val="en-GB"/>
              </w:rPr>
            </w:pPr>
            <w:r>
              <w:rPr>
                <w:b/>
                <w:lang w:val="en-GB"/>
              </w:rPr>
            </w:r>
          </w:p>
        </w:tc>
        <w:tc>
          <w:tcPr>
            <w:tcW w:w="2581" w:type="dxa"/>
            <w:tcBorders>
              <w:top w:val="dotted" w:sz="4" w:space="0" w:color="000001"/>
              <w:left w:val="dotted" w:sz="4" w:space="0" w:color="000001"/>
              <w:bottom w:val="dotted" w:sz="4" w:space="0" w:color="000001"/>
              <w:insideH w:val="dotted" w:sz="4" w:space="0" w:color="000001"/>
              <w:right w:val="dotted" w:sz="4" w:space="0" w:color="000001"/>
              <w:insideV w:val="dotted" w:sz="4" w:space="0" w:color="000001"/>
            </w:tcBorders>
            <w:shd w:fill="auto" w:val="clear"/>
            <w:tcMar>
              <w:left w:w="65" w:type="dxa"/>
            </w:tcMar>
          </w:tcPr>
          <w:p>
            <w:pPr>
              <w:pStyle w:val="Titre1"/>
              <w:numPr>
                <w:ilvl w:val="0"/>
                <w:numId w:val="1"/>
              </w:numPr>
              <w:rPr>
                <w:rStyle w:val="LienInternet"/>
                <w:lang w:val="en-GB"/>
              </w:rPr>
            </w:pPr>
            <w:hyperlink r:id="rId4">
              <w:r>
                <w:rPr>
                  <w:rStyle w:val="LienInternet"/>
                  <w:lang w:val="en-GB"/>
                </w:rPr>
                <w:t>aude.leynaert@univ-brest.fr</w:t>
              </w:r>
            </w:hyperlink>
          </w:p>
          <w:p>
            <w:pPr>
              <w:pStyle w:val="Normal"/>
              <w:rPr>
                <w:lang w:val="en-GB"/>
              </w:rPr>
            </w:pPr>
            <w:r>
              <w:rPr>
                <w:lang w:val="en-GB"/>
              </w:rPr>
              <w:t>brivaela.moriceau@univ-brest.fr</w:t>
            </w:r>
          </w:p>
        </w:tc>
      </w:tr>
      <w:tr>
        <w:trPr>
          <w:cantSplit w:val="false"/>
        </w:trPr>
        <w:tc>
          <w:tcPr>
            <w:tcW w:w="1468"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rPr>
                <w:b/>
                <w:bCs/>
              </w:rPr>
            </w:pPr>
            <w:r>
              <w:rPr>
                <w:b/>
                <w:bCs/>
              </w:rPr>
              <w:t>LEBLANC</w:t>
            </w:r>
          </w:p>
          <w:p>
            <w:pPr>
              <w:pStyle w:val="Titre1"/>
              <w:numPr>
                <w:ilvl w:val="0"/>
                <w:numId w:val="1"/>
              </w:numPr>
              <w:rPr>
                <w:b/>
                <w:bCs/>
              </w:rPr>
            </w:pPr>
            <w:r>
              <w:rPr>
                <w:b/>
                <w:bCs/>
              </w:rPr>
              <w:t>Karine</w:t>
            </w:r>
          </w:p>
          <w:p>
            <w:pPr>
              <w:pStyle w:val="Normal"/>
              <w:rPr>
                <w:b/>
              </w:rPr>
            </w:pPr>
            <w:r>
              <w:rPr>
                <w:b/>
              </w:rPr>
            </w:r>
          </w:p>
          <w:p>
            <w:pPr>
              <w:pStyle w:val="Normal"/>
              <w:rPr>
                <w:b/>
              </w:rPr>
            </w:pPr>
            <w:r>
              <w:rPr>
                <w:b/>
              </w:rPr>
            </w:r>
          </w:p>
        </w:tc>
        <w:tc>
          <w:tcPr>
            <w:tcW w:w="2112"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ind w:left="12" w:right="0" w:hanging="12"/>
              <w:rPr>
                <w:sz w:val="16"/>
                <w:szCs w:val="16"/>
              </w:rPr>
            </w:pPr>
            <w:r>
              <w:rPr>
                <w:sz w:val="16"/>
                <w:szCs w:val="16"/>
              </w:rPr>
              <w:t>MIO UMR 7294 Campus de Luminy, batiment OCEANOMED, 13009 Marseille</w:t>
            </w:r>
          </w:p>
        </w:tc>
        <w:tc>
          <w:tcPr>
            <w:tcW w:w="1799"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rPr>
                <w:b/>
                <w:sz w:val="16"/>
                <w:szCs w:val="16"/>
                <w:lang w:val="en-GB"/>
              </w:rPr>
            </w:pPr>
            <w:r>
              <w:rPr>
                <w:b/>
                <w:sz w:val="16"/>
                <w:szCs w:val="16"/>
                <w:lang w:val="en-GB"/>
              </w:rPr>
              <w:t>00 33 (0)</w:t>
            </w:r>
            <w:r>
              <w:rPr>
                <w:b/>
                <w:sz w:val="16"/>
                <w:szCs w:val="16"/>
              </w:rPr>
              <w:t>4 86 09 057 2</w:t>
            </w:r>
            <w:r>
              <w:rPr>
                <w:b/>
                <w:sz w:val="16"/>
                <w:szCs w:val="16"/>
                <w:lang w:val="en-GB"/>
              </w:rPr>
              <w:t>7</w:t>
            </w:r>
          </w:p>
        </w:tc>
        <w:tc>
          <w:tcPr>
            <w:tcW w:w="1809" w:type="dxa"/>
            <w:tcBorders>
              <w:top w:val="dotted" w:sz="4" w:space="0" w:color="000001"/>
              <w:left w:val="dotted" w:sz="4" w:space="0" w:color="000001"/>
              <w:bottom w:val="dotted" w:sz="4" w:space="0" w:color="000001"/>
              <w:insideH w:val="dotted" w:sz="4" w:space="0" w:color="000001"/>
              <w:right w:val="nil"/>
              <w:insideV w:val="nil"/>
            </w:tcBorders>
            <w:shd w:fill="auto" w:val="clear"/>
            <w:tcMar>
              <w:left w:w="65" w:type="dxa"/>
            </w:tcMar>
          </w:tcPr>
          <w:p>
            <w:pPr>
              <w:pStyle w:val="Titre1"/>
              <w:numPr>
                <w:ilvl w:val="0"/>
                <w:numId w:val="1"/>
              </w:numPr>
              <w:rPr>
                <w:b/>
                <w:lang w:val="en-GB"/>
              </w:rPr>
            </w:pPr>
            <w:r>
              <w:rPr>
                <w:b/>
                <w:lang w:val="en-GB"/>
              </w:rPr>
            </w:r>
          </w:p>
        </w:tc>
        <w:tc>
          <w:tcPr>
            <w:tcW w:w="2581" w:type="dxa"/>
            <w:tcBorders>
              <w:top w:val="dotted" w:sz="4" w:space="0" w:color="000001"/>
              <w:left w:val="dotted" w:sz="4" w:space="0" w:color="000001"/>
              <w:bottom w:val="dotted" w:sz="4" w:space="0" w:color="000001"/>
              <w:insideH w:val="dotted" w:sz="4" w:space="0" w:color="000001"/>
              <w:right w:val="dotted" w:sz="4" w:space="0" w:color="000001"/>
              <w:insideV w:val="dotted" w:sz="4" w:space="0" w:color="000001"/>
            </w:tcBorders>
            <w:shd w:fill="auto" w:val="clear"/>
            <w:tcMar>
              <w:left w:w="65" w:type="dxa"/>
            </w:tcMar>
          </w:tcPr>
          <w:p>
            <w:pPr>
              <w:pStyle w:val="Titre1"/>
              <w:numPr>
                <w:ilvl w:val="0"/>
                <w:numId w:val="1"/>
              </w:numPr>
              <w:rPr>
                <w:lang w:val="en-GB"/>
              </w:rPr>
            </w:pPr>
            <w:r>
              <w:rPr>
                <w:lang w:val="en-GB"/>
              </w:rPr>
              <w:t>karine.leblanc@univ-amu.fr</w:t>
            </w:r>
          </w:p>
        </w:tc>
      </w:tr>
    </w:tbl>
    <w:p>
      <w:pPr>
        <w:pStyle w:val="Normal"/>
        <w:rPr>
          <w:lang w:val="en-GB"/>
        </w:rPr>
      </w:pPr>
      <w:r>
        <w:rPr>
          <w:lang w:val="en-GB"/>
        </w:rPr>
      </w:r>
    </w:p>
    <w:p>
      <w:pPr>
        <w:pStyle w:val="Titre3"/>
        <w:pBdr>
          <w:top w:val="nil"/>
          <w:left w:val="nil"/>
          <w:bottom w:val="single" w:sz="4" w:space="1" w:color="000001"/>
          <w:right w:val="nil"/>
        </w:pBdr>
        <w:tabs>
          <w:tab w:val="left" w:pos="0" w:leader="none"/>
        </w:tabs>
        <w:rPr>
          <w:lang w:val="en-GB"/>
        </w:rPr>
      </w:pPr>
      <w:r>
        <w:rPr>
          <w:lang w:val="en-GB"/>
        </w:rPr>
      </w:r>
    </w:p>
    <w:p>
      <w:pPr>
        <w:pStyle w:val="Titre3"/>
        <w:numPr>
          <w:ilvl w:val="0"/>
          <w:numId w:val="2"/>
        </w:numPr>
        <w:pBdr>
          <w:top w:val="nil"/>
          <w:left w:val="nil"/>
          <w:bottom w:val="single" w:sz="4" w:space="1" w:color="000001"/>
          <w:right w:val="nil"/>
        </w:pBdr>
        <w:tabs>
          <w:tab w:val="left" w:pos="0" w:leader="none"/>
          <w:tab w:val="left" w:pos="360" w:leader="none"/>
        </w:tabs>
        <w:rPr>
          <w:rFonts w:eastAsia="Arial"/>
          <w:i/>
          <w:iCs/>
        </w:rPr>
      </w:pPr>
      <w:r>
        <w:rPr>
          <w:rFonts w:eastAsia="Arial"/>
        </w:rPr>
        <w:t xml:space="preserve">INFORMATION GEOGRAPHIQUES </w:t>
      </w:r>
      <w:r>
        <w:rPr>
          <w:i/>
          <w:iCs/>
        </w:rPr>
        <w:t>/</w:t>
      </w:r>
      <w:r>
        <w:rPr>
          <w:rFonts w:eastAsia="Arial"/>
          <w:i/>
          <w:iCs/>
        </w:rPr>
        <w:t xml:space="preserve">  GEOGRAPHIC INFORMATION</w:t>
      </w:r>
    </w:p>
    <w:p>
      <w:pPr>
        <w:pStyle w:val="Normal"/>
        <w:widowControl w:val="false"/>
        <w:spacing w:lineRule="atLeast" w:line="200"/>
        <w:jc w:val="both"/>
        <w:rPr/>
      </w:pPr>
      <w:r>
        <w:rPr/>
      </w:r>
    </w:p>
    <w:p>
      <w:pPr>
        <w:pStyle w:val="Normal"/>
        <w:widowControl w:val="false"/>
        <w:spacing w:lineRule="atLeast" w:line="200"/>
        <w:jc w:val="both"/>
        <w:rPr>
          <w:rFonts w:eastAsia="Arial"/>
          <w:i/>
          <w:iCs/>
          <w:sz w:val="24"/>
          <w:szCs w:val="24"/>
          <w:lang w:val="en-US" w:eastAsia="en-US"/>
        </w:rPr>
      </w:pPr>
      <w:r>
        <w:rPr>
          <w:rFonts w:eastAsia="Arial"/>
          <w:i/>
          <w:iCs/>
          <w:color w:val="FF0000"/>
          <w:sz w:val="24"/>
          <w:szCs w:val="24"/>
          <w:u w:val="single"/>
          <w:lang w:val="en-US" w:eastAsia="en-US"/>
        </w:rPr>
        <w:t>Predefined site (if relevant):</w:t>
      </w:r>
      <w:r>
        <w:rPr>
          <w:rFonts w:eastAsia="Arial"/>
          <w:i/>
          <w:iCs/>
          <w:color w:val="FF0000"/>
          <w:sz w:val="24"/>
          <w:szCs w:val="24"/>
          <w:lang w:val="en-US" w:eastAsia="en-US"/>
        </w:rPr>
        <w:t xml:space="preserve"> </w:t>
      </w:r>
      <w:r>
        <w:rPr>
          <w:rFonts w:eastAsia="Arial"/>
          <w:i/>
          <w:iCs/>
          <w:sz w:val="24"/>
          <w:szCs w:val="24"/>
          <w:lang w:val="en-US" w:eastAsia="en-US"/>
        </w:rPr>
        <w:t>Ice camp</w:t>
      </w:r>
    </w:p>
    <w:p>
      <w:pPr>
        <w:pStyle w:val="Normal"/>
        <w:widowControl w:val="false"/>
        <w:spacing w:lineRule="atLeast" w:line="200"/>
        <w:jc w:val="both"/>
        <w:rPr>
          <w:i/>
          <w:iCs/>
          <w:color w:val="FF0000"/>
          <w:sz w:val="24"/>
          <w:szCs w:val="24"/>
          <w:lang w:val="en-US"/>
        </w:rPr>
      </w:pPr>
      <w:r>
        <w:rPr>
          <w:i/>
          <w:iCs/>
          <w:color w:val="FF0000"/>
          <w:sz w:val="24"/>
          <w:szCs w:val="24"/>
          <w:lang w:val="en-US"/>
        </w:rPr>
      </w:r>
    </w:p>
    <w:p>
      <w:pPr>
        <w:pStyle w:val="Normal"/>
        <w:spacing w:lineRule="atLeast" w:line="200"/>
        <w:jc w:val="both"/>
        <w:rPr>
          <w:iCs/>
          <w:sz w:val="24"/>
          <w:szCs w:val="24"/>
          <w:lang w:val="en-US" w:eastAsia="en-US"/>
        </w:rPr>
      </w:pPr>
      <w:r>
        <w:rPr>
          <w:i/>
          <w:iCs/>
          <w:color w:val="FF0000"/>
          <w:sz w:val="24"/>
          <w:szCs w:val="24"/>
          <w:u w:val="single"/>
          <w:lang w:val="en-US" w:eastAsia="en-US"/>
        </w:rPr>
        <w:t>Location</w:t>
      </w:r>
      <w:r>
        <w:rPr>
          <w:i/>
          <w:iCs/>
          <w:color w:val="FF0000"/>
          <w:sz w:val="24"/>
          <w:szCs w:val="24"/>
          <w:lang w:val="en-US" w:eastAsia="en-US"/>
        </w:rPr>
        <w:t>:</w:t>
      </w:r>
      <w:r>
        <w:rPr>
          <w:iCs/>
          <w:sz w:val="24"/>
          <w:szCs w:val="24"/>
          <w:lang w:val="en-US" w:eastAsia="en-US"/>
        </w:rPr>
        <w:t>Polarhaven</w:t>
      </w:r>
    </w:p>
    <w:p>
      <w:pPr>
        <w:pStyle w:val="Normal"/>
        <w:spacing w:lineRule="atLeast" w:line="200"/>
        <w:jc w:val="both"/>
        <w:rPr>
          <w:i/>
          <w:iCs/>
          <w:color w:val="FF0000"/>
          <w:sz w:val="24"/>
          <w:szCs w:val="24"/>
        </w:rPr>
      </w:pPr>
      <w:r>
        <w:rPr>
          <w:i/>
          <w:iCs/>
          <w:color w:val="FF0000"/>
          <w:sz w:val="24"/>
          <w:szCs w:val="24"/>
        </w:rPr>
      </w:r>
    </w:p>
    <w:p>
      <w:pPr>
        <w:pStyle w:val="Normal"/>
        <w:spacing w:lineRule="atLeast" w:line="200"/>
        <w:ind w:left="-30" w:right="0" w:hanging="0"/>
        <w:jc w:val="both"/>
        <w:rPr>
          <w:iCs/>
          <w:sz w:val="24"/>
          <w:szCs w:val="24"/>
          <w:lang w:val="en-US" w:eastAsia="en-US"/>
        </w:rPr>
      </w:pPr>
      <w:r>
        <w:rPr>
          <w:i/>
          <w:iCs/>
          <w:color w:val="FF0000"/>
          <w:sz w:val="24"/>
          <w:szCs w:val="24"/>
          <w:u w:val="single"/>
          <w:lang w:val="en-GB"/>
        </w:rPr>
        <w:t>LATITUDE:</w:t>
      </w:r>
      <w:r>
        <w:rPr>
          <w:rFonts w:eastAsia="Arial"/>
          <w:i/>
          <w:iCs/>
          <w:color w:val="FF0000"/>
          <w:sz w:val="24"/>
          <w:szCs w:val="24"/>
          <w:u w:val="single"/>
          <w:lang w:val="en-GB"/>
        </w:rPr>
        <w:t xml:space="preserve"> </w:t>
      </w:r>
      <w:r>
        <w:rPr>
          <w:iCs/>
          <w:sz w:val="24"/>
          <w:szCs w:val="24"/>
          <w:lang w:val="en-US" w:eastAsia="en-US"/>
        </w:rPr>
        <w:t>67˚28.784N</w:t>
      </w:r>
    </w:p>
    <w:p>
      <w:pPr>
        <w:pStyle w:val="Normal"/>
        <w:spacing w:lineRule="atLeast" w:line="200"/>
        <w:ind w:left="-30" w:right="0" w:hanging="0"/>
        <w:jc w:val="both"/>
        <w:rPr>
          <w:i/>
          <w:iCs/>
          <w:color w:val="FF0000"/>
          <w:sz w:val="24"/>
          <w:szCs w:val="24"/>
          <w:u w:val="single"/>
          <w:lang w:val="en-GB"/>
        </w:rPr>
      </w:pPr>
      <w:r>
        <w:rPr>
          <w:i/>
          <w:iCs/>
          <w:color w:val="FF0000"/>
          <w:sz w:val="24"/>
          <w:szCs w:val="24"/>
          <w:u w:val="single"/>
          <w:lang w:val="en-GB"/>
        </w:rPr>
      </w:r>
    </w:p>
    <w:p>
      <w:pPr>
        <w:pStyle w:val="Normal"/>
        <w:widowControl w:val="false"/>
        <w:spacing w:lineRule="atLeast" w:line="200"/>
        <w:ind w:left="-30" w:right="0" w:hanging="0"/>
        <w:jc w:val="both"/>
        <w:rPr>
          <w:iCs/>
          <w:sz w:val="24"/>
          <w:szCs w:val="24"/>
          <w:lang w:val="en-US" w:eastAsia="en-US"/>
        </w:rPr>
      </w:pPr>
      <w:r>
        <w:rPr>
          <w:rFonts w:eastAsia="Arial"/>
          <w:bCs/>
          <w:i/>
          <w:iCs/>
          <w:color w:val="FF0000"/>
          <w:sz w:val="24"/>
          <w:szCs w:val="24"/>
          <w:u w:val="single"/>
          <w:lang w:val="en-US" w:eastAsia="en-US"/>
        </w:rPr>
        <w:t xml:space="preserve">LONGITUDE </w:t>
      </w:r>
      <w:bookmarkStart w:id="0" w:name="_GoBack"/>
      <w:bookmarkEnd w:id="0"/>
      <w:r>
        <w:rPr>
          <w:iCs/>
          <w:sz w:val="24"/>
          <w:szCs w:val="24"/>
          <w:lang w:val="en-US" w:eastAsia="en-US"/>
        </w:rPr>
        <w:t>063˚47.372W</w:t>
      </w:r>
    </w:p>
    <w:p>
      <w:pPr>
        <w:pStyle w:val="Normal"/>
        <w:widowControl w:val="false"/>
        <w:spacing w:lineRule="atLeast" w:line="200"/>
        <w:jc w:val="both"/>
        <w:rPr/>
      </w:pPr>
      <w:r>
        <w:rPr/>
      </w:r>
    </w:p>
    <w:p>
      <w:pPr>
        <w:pStyle w:val="Titre3"/>
        <w:numPr>
          <w:ilvl w:val="0"/>
          <w:numId w:val="2"/>
        </w:numPr>
        <w:pBdr>
          <w:top w:val="nil"/>
          <w:left w:val="nil"/>
          <w:bottom w:val="single" w:sz="4" w:space="1" w:color="000001"/>
          <w:right w:val="nil"/>
        </w:pBdr>
        <w:tabs>
          <w:tab w:val="left" w:pos="0" w:leader="none"/>
          <w:tab w:val="left" w:pos="360" w:leader="none"/>
        </w:tabs>
        <w:rPr>
          <w:rFonts w:eastAsia="Arial"/>
          <w:i/>
          <w:iCs/>
          <w:sz w:val="24"/>
          <w:szCs w:val="24"/>
          <w:lang w:val="fr-FR" w:eastAsia="zh-CN"/>
        </w:rPr>
      </w:pPr>
      <w:r>
        <w:rPr>
          <w:sz w:val="24"/>
          <w:szCs w:val="24"/>
          <w:lang w:val="fr-FR" w:eastAsia="zh-CN"/>
        </w:rPr>
        <w:t>DESCRIPTION</w:t>
      </w:r>
      <w:r>
        <w:rPr>
          <w:rFonts w:eastAsia="Arial"/>
          <w:sz w:val="24"/>
          <w:szCs w:val="24"/>
          <w:lang w:val="fr-FR" w:eastAsia="zh-CN"/>
        </w:rPr>
        <w:t xml:space="preserve"> </w:t>
      </w:r>
      <w:r>
        <w:rPr>
          <w:sz w:val="24"/>
          <w:szCs w:val="24"/>
          <w:lang w:val="fr-FR" w:eastAsia="zh-CN"/>
        </w:rPr>
        <w:t>DES</w:t>
      </w:r>
      <w:r>
        <w:rPr>
          <w:rFonts w:eastAsia="Arial"/>
          <w:sz w:val="24"/>
          <w:szCs w:val="24"/>
          <w:lang w:val="fr-FR" w:eastAsia="zh-CN"/>
        </w:rPr>
        <w:t xml:space="preserve"> </w:t>
      </w:r>
      <w:r>
        <w:rPr>
          <w:sz w:val="24"/>
          <w:szCs w:val="24"/>
          <w:lang w:val="fr-FR" w:eastAsia="zh-CN"/>
        </w:rPr>
        <w:t>INSTRUMENTS</w:t>
      </w:r>
      <w:r>
        <w:rPr>
          <w:rFonts w:eastAsia="Arial"/>
          <w:sz w:val="24"/>
          <w:szCs w:val="24"/>
          <w:lang w:val="fr-FR" w:eastAsia="zh-CN"/>
        </w:rPr>
        <w:t xml:space="preserve"> </w:t>
      </w:r>
      <w:r>
        <w:rPr>
          <w:sz w:val="24"/>
          <w:szCs w:val="24"/>
          <w:lang w:val="fr-FR" w:eastAsia="zh-CN"/>
        </w:rPr>
        <w:t>/</w:t>
      </w:r>
      <w:r>
        <w:rPr>
          <w:rFonts w:eastAsia="Arial"/>
          <w:sz w:val="24"/>
          <w:szCs w:val="24"/>
          <w:lang w:val="fr-FR" w:eastAsia="zh-CN"/>
        </w:rPr>
        <w:t xml:space="preserve">  </w:t>
      </w:r>
      <w:r>
        <w:rPr>
          <w:sz w:val="24"/>
          <w:szCs w:val="24"/>
          <w:lang w:val="fr-FR" w:eastAsia="zh-CN"/>
        </w:rPr>
        <w:t>INSTRUMENTS</w:t>
      </w:r>
      <w:r>
        <w:rPr>
          <w:rFonts w:eastAsia="Arial"/>
          <w:sz w:val="24"/>
          <w:szCs w:val="24"/>
          <w:lang w:val="fr-FR" w:eastAsia="zh-CN"/>
        </w:rPr>
        <w:t xml:space="preserve"> </w:t>
      </w:r>
      <w:r>
        <w:rPr>
          <w:sz w:val="24"/>
          <w:szCs w:val="24"/>
          <w:lang w:val="fr-FR" w:eastAsia="zh-CN"/>
        </w:rPr>
        <w:t>DESCRIPTION</w:t>
      </w:r>
      <w:r>
        <w:rPr>
          <w:rFonts w:eastAsia="Arial"/>
          <w:sz w:val="24"/>
          <w:szCs w:val="24"/>
          <w:lang w:val="fr-FR" w:eastAsia="zh-CN"/>
        </w:rPr>
        <w:t xml:space="preserve"> </w:t>
      </w:r>
      <w:r>
        <w:rPr>
          <w:i/>
          <w:iCs/>
          <w:sz w:val="24"/>
          <w:szCs w:val="24"/>
          <w:lang w:val="fr-FR" w:eastAsia="zh-CN"/>
        </w:rPr>
        <w:t>(if</w:t>
      </w:r>
      <w:r>
        <w:rPr>
          <w:rFonts w:eastAsia="Arial"/>
          <w:i/>
          <w:iCs/>
          <w:sz w:val="24"/>
          <w:szCs w:val="24"/>
          <w:lang w:val="fr-FR" w:eastAsia="zh-CN"/>
        </w:rPr>
        <w:t xml:space="preserve"> </w:t>
      </w:r>
      <w:r>
        <w:rPr>
          <w:i/>
          <w:iCs/>
          <w:sz w:val="24"/>
          <w:szCs w:val="24"/>
          <w:lang w:val="fr-FR" w:eastAsia="zh-CN"/>
        </w:rPr>
        <w:t>Relevant)</w:t>
      </w:r>
      <w:r>
        <w:rPr>
          <w:rFonts w:eastAsia="Arial"/>
          <w:i/>
          <w:iCs/>
          <w:sz w:val="24"/>
          <w:szCs w:val="24"/>
          <w:lang w:val="fr-FR" w:eastAsia="zh-CN"/>
        </w:rPr>
        <w:t xml:space="preserve"> </w:t>
      </w:r>
    </w:p>
    <w:p>
      <w:pPr>
        <w:pStyle w:val="Normal"/>
        <w:numPr>
          <w:ilvl w:val="0"/>
          <w:numId w:val="3"/>
        </w:numPr>
        <w:tabs>
          <w:tab w:val="left" w:pos="420" w:leader="none"/>
        </w:tabs>
        <w:rPr>
          <w:b/>
          <w:bCs/>
        </w:rPr>
      </w:pPr>
      <w:r>
        <w:rPr>
          <w:b/>
          <w:bCs/>
          <w:sz w:val="22"/>
          <w:szCs w:val="22"/>
        </w:rPr>
        <w:t>Si #1 (SiOH</w:t>
      </w:r>
      <w:r>
        <w:rPr>
          <w:b/>
          <w:bCs/>
          <w:sz w:val="22"/>
          <w:szCs w:val="22"/>
          <w:vertAlign w:val="subscript"/>
        </w:rPr>
        <w:t>4</w:t>
      </w:r>
      <w:r>
        <w:rPr>
          <w:b/>
          <w:bCs/>
          <w:sz w:val="22"/>
          <w:szCs w:val="22"/>
        </w:rPr>
        <w:t>), Si #2 (BSi &amp; LSi), Si #5 (</w:t>
      </w:r>
      <w:r>
        <w:rPr>
          <w:rFonts w:eastAsia="Symbola"/>
          <w:b/>
          <w:bCs/>
        </w:rPr>
        <w:t>Δ</w:t>
      </w:r>
      <w:r>
        <w:rPr>
          <w:b/>
          <w:bCs/>
        </w:rPr>
        <w:t>BSi)</w:t>
      </w:r>
    </w:p>
    <w:p>
      <w:pPr>
        <w:pStyle w:val="Normal"/>
        <w:rPr>
          <w:rFonts w:eastAsia="Arial"/>
          <w:i/>
          <w:iCs/>
          <w:sz w:val="24"/>
          <w:szCs w:val="24"/>
          <w:lang w:val="en-GB"/>
        </w:rPr>
      </w:pPr>
      <w:r>
        <w:rPr>
          <w:i/>
          <w:iCs/>
          <w:color w:val="FF0000"/>
          <w:sz w:val="24"/>
          <w:szCs w:val="24"/>
          <w:lang w:val="en-US" w:eastAsia="en-US"/>
        </w:rPr>
        <w:t>Instrument</w:t>
      </w:r>
      <w:r>
        <w:rPr>
          <w:rFonts w:eastAsia="Arial"/>
          <w:i/>
          <w:iCs/>
          <w:color w:val="FF0000"/>
          <w:sz w:val="24"/>
          <w:szCs w:val="24"/>
          <w:lang w:val="en-US" w:eastAsia="en-US"/>
        </w:rPr>
        <w:t xml:space="preserve"> </w:t>
      </w:r>
      <w:r>
        <w:rPr>
          <w:i/>
          <w:iCs/>
          <w:color w:val="FF0000"/>
          <w:sz w:val="24"/>
          <w:szCs w:val="24"/>
          <w:lang w:val="en-US" w:eastAsia="en-US"/>
        </w:rPr>
        <w:t>Type:</w:t>
      </w:r>
      <w:r>
        <w:rPr>
          <w:rFonts w:eastAsia="Arial"/>
          <w:i/>
          <w:iCs/>
          <w:color w:val="FF0000"/>
          <w:sz w:val="24"/>
          <w:szCs w:val="24"/>
          <w:lang w:val="en-US" w:eastAsia="en-US"/>
        </w:rPr>
        <w:t xml:space="preserve"> </w:t>
      </w:r>
      <w:r>
        <w:rPr>
          <w:rFonts w:eastAsia="Arial"/>
          <w:i/>
          <w:iCs/>
          <w:sz w:val="24"/>
          <w:szCs w:val="24"/>
          <w:lang w:eastAsia="en-US"/>
        </w:rPr>
        <w:t>A</w:t>
      </w:r>
      <w:r>
        <w:rPr>
          <w:rFonts w:eastAsia="Arial"/>
          <w:i/>
          <w:iCs/>
          <w:sz w:val="24"/>
          <w:szCs w:val="24"/>
          <w:lang w:val="en-US" w:eastAsia="en-US"/>
        </w:rPr>
        <w:t xml:space="preserve">utoanalyser technicon </w:t>
      </w:r>
      <w:r>
        <w:rPr>
          <w:i/>
          <w:iCs/>
          <w:color w:val="FF0000"/>
          <w:sz w:val="24"/>
          <w:szCs w:val="24"/>
          <w:lang w:val="en-US" w:eastAsia="en-US"/>
        </w:rPr>
        <w:t>Manufacturer:</w:t>
      </w:r>
      <w:r>
        <w:rPr>
          <w:i/>
          <w:iCs/>
          <w:color w:val="FF0000"/>
          <w:sz w:val="24"/>
          <w:szCs w:val="24"/>
          <w:lang w:eastAsia="en-US"/>
        </w:rPr>
        <w:t xml:space="preserve"> </w:t>
      </w:r>
      <w:r>
        <w:rPr>
          <w:rFonts w:eastAsia="Arial"/>
          <w:i/>
          <w:iCs/>
          <w:sz w:val="24"/>
          <w:szCs w:val="24"/>
          <w:lang w:val="en-US" w:eastAsia="en-US"/>
        </w:rPr>
        <w:t>SEAL-BRAN+LUEBBE</w:t>
      </w:r>
      <w:r>
        <w:rPr>
          <w:rFonts w:eastAsia="Arial"/>
          <w:i/>
          <w:iCs/>
          <w:sz w:val="24"/>
          <w:szCs w:val="24"/>
          <w:lang w:eastAsia="en-US"/>
        </w:rPr>
        <w:t xml:space="preserve"> </w:t>
      </w:r>
      <w:r>
        <w:rPr>
          <w:i/>
          <w:iCs/>
          <w:color w:val="FF0000"/>
          <w:sz w:val="24"/>
          <w:szCs w:val="24"/>
          <w:lang w:val="en-GB"/>
        </w:rPr>
        <w:t>Model:</w:t>
      </w:r>
      <w:r>
        <w:rPr>
          <w:rFonts w:eastAsia="Arial"/>
          <w:i/>
          <w:iCs/>
          <w:color w:val="FF0000"/>
          <w:sz w:val="24"/>
          <w:szCs w:val="24"/>
          <w:lang w:val="en-GB"/>
        </w:rPr>
        <w:t xml:space="preserve"> </w:t>
      </w:r>
      <w:r>
        <w:rPr>
          <w:rFonts w:eastAsia="Arial"/>
          <w:i/>
          <w:iCs/>
          <w:sz w:val="24"/>
          <w:szCs w:val="24"/>
          <w:lang w:val="en-GB"/>
        </w:rPr>
        <w:t>AA3</w:t>
      </w:r>
    </w:p>
    <w:p>
      <w:pPr>
        <w:pStyle w:val="Normal"/>
        <w:rPr>
          <w:rFonts w:eastAsia="Arial"/>
          <w:i/>
          <w:iCs/>
          <w:sz w:val="24"/>
          <w:szCs w:val="24"/>
          <w:lang w:val="en-US" w:eastAsia="en-US"/>
        </w:rPr>
      </w:pPr>
      <w:r>
        <w:rPr>
          <w:i/>
          <w:iCs/>
          <w:color w:val="FF0000"/>
          <w:sz w:val="24"/>
          <w:szCs w:val="24"/>
          <w:lang w:val="en-US" w:eastAsia="en-US"/>
        </w:rPr>
        <w:t>Instrument</w:t>
      </w:r>
      <w:r>
        <w:rPr>
          <w:rFonts w:eastAsia="Arial"/>
          <w:i/>
          <w:iCs/>
          <w:color w:val="FF0000"/>
          <w:sz w:val="24"/>
          <w:szCs w:val="24"/>
          <w:lang w:val="en-US" w:eastAsia="en-US"/>
        </w:rPr>
        <w:t xml:space="preserve"> </w:t>
      </w:r>
      <w:r>
        <w:rPr>
          <w:i/>
          <w:iCs/>
          <w:color w:val="FF0000"/>
          <w:sz w:val="24"/>
          <w:szCs w:val="24"/>
          <w:lang w:val="en-US" w:eastAsia="en-US"/>
        </w:rPr>
        <w:t>Type:</w:t>
      </w:r>
      <w:r>
        <w:rPr>
          <w:rFonts w:eastAsia="Arial"/>
          <w:i/>
          <w:iCs/>
          <w:color w:val="FF0000"/>
          <w:sz w:val="24"/>
          <w:szCs w:val="24"/>
          <w:lang w:val="en-US" w:eastAsia="en-US"/>
        </w:rPr>
        <w:t xml:space="preserve"> </w:t>
      </w:r>
      <w:r>
        <w:rPr>
          <w:rFonts w:eastAsia="Arial"/>
          <w:i/>
          <w:iCs/>
          <w:sz w:val="24"/>
          <w:szCs w:val="24"/>
          <w:lang w:val="en-US" w:eastAsia="en-US"/>
        </w:rPr>
        <w:t xml:space="preserve">Spectrophotometer  </w:t>
      </w:r>
      <w:r>
        <w:rPr>
          <w:i/>
          <w:iCs/>
          <w:color w:val="FF0000"/>
          <w:sz w:val="24"/>
          <w:szCs w:val="24"/>
          <w:lang w:val="en-US" w:eastAsia="en-US"/>
        </w:rPr>
        <w:t xml:space="preserve">Manufacturer: </w:t>
      </w:r>
      <w:r>
        <w:rPr>
          <w:rFonts w:eastAsia="Arial"/>
          <w:i/>
          <w:iCs/>
          <w:sz w:val="24"/>
          <w:szCs w:val="24"/>
          <w:lang w:val="en-US" w:eastAsia="en-US"/>
        </w:rPr>
        <w:t xml:space="preserve"> </w:t>
      </w:r>
      <w:r>
        <w:rPr>
          <w:i/>
          <w:iCs/>
          <w:color w:val="FF0000"/>
          <w:sz w:val="24"/>
          <w:szCs w:val="24"/>
          <w:lang w:val="en-GB"/>
        </w:rPr>
        <w:t>Model:</w:t>
      </w:r>
      <w:r>
        <w:rPr>
          <w:rFonts w:eastAsia="Arial"/>
          <w:i/>
          <w:iCs/>
          <w:color w:val="FF0000"/>
          <w:sz w:val="24"/>
          <w:szCs w:val="24"/>
          <w:lang w:val="en-GB"/>
        </w:rPr>
        <w:t xml:space="preserve"> </w:t>
      </w:r>
      <w:r>
        <w:rPr>
          <w:rFonts w:eastAsia="Arial"/>
          <w:i/>
          <w:iCs/>
          <w:sz w:val="24"/>
          <w:szCs w:val="24"/>
          <w:lang w:val="en-US" w:eastAsia="en-US"/>
        </w:rPr>
        <w:t>Helyos</w:t>
      </w:r>
    </w:p>
    <w:p>
      <w:pPr>
        <w:pStyle w:val="Normal"/>
        <w:rPr>
          <w:rFonts w:eastAsia="Arial"/>
          <w:i/>
          <w:iCs/>
          <w:sz w:val="24"/>
          <w:szCs w:val="24"/>
          <w:lang w:val="en-US" w:eastAsia="en-US"/>
        </w:rPr>
      </w:pPr>
      <w:r>
        <w:rPr>
          <w:i/>
          <w:iCs/>
          <w:color w:val="FF0000"/>
          <w:sz w:val="24"/>
          <w:szCs w:val="24"/>
          <w:lang w:val="en-US" w:eastAsia="en-US"/>
        </w:rPr>
        <w:t>Instrument</w:t>
      </w:r>
      <w:r>
        <w:rPr>
          <w:rFonts w:eastAsia="Arial"/>
          <w:i/>
          <w:iCs/>
          <w:color w:val="FF0000"/>
          <w:sz w:val="24"/>
          <w:szCs w:val="24"/>
          <w:lang w:val="en-US" w:eastAsia="en-US"/>
        </w:rPr>
        <w:t xml:space="preserve"> </w:t>
      </w:r>
      <w:r>
        <w:rPr>
          <w:i/>
          <w:iCs/>
          <w:color w:val="FF0000"/>
          <w:sz w:val="24"/>
          <w:szCs w:val="24"/>
          <w:lang w:val="en-US" w:eastAsia="en-US"/>
        </w:rPr>
        <w:t>Type:</w:t>
      </w:r>
      <w:r>
        <w:rPr>
          <w:rFonts w:eastAsia="Arial"/>
          <w:i/>
          <w:iCs/>
          <w:color w:val="FF0000"/>
          <w:sz w:val="24"/>
          <w:szCs w:val="24"/>
          <w:lang w:val="en-US" w:eastAsia="en-US"/>
        </w:rPr>
        <w:t xml:space="preserve"> </w:t>
      </w:r>
      <w:r>
        <w:rPr>
          <w:rFonts w:eastAsia="Arial"/>
          <w:i/>
          <w:iCs/>
          <w:sz w:val="24"/>
          <w:szCs w:val="24"/>
          <w:lang w:val="en-US" w:eastAsia="en-US"/>
        </w:rPr>
        <w:t xml:space="preserve">UV-Spectrofluorometer  </w:t>
      </w:r>
      <w:r>
        <w:rPr>
          <w:i/>
          <w:iCs/>
          <w:color w:val="FF0000"/>
          <w:sz w:val="24"/>
          <w:szCs w:val="24"/>
          <w:lang w:val="en-US" w:eastAsia="en-US"/>
        </w:rPr>
        <w:t xml:space="preserve">Manufacturer: </w:t>
      </w:r>
      <w:r>
        <w:rPr>
          <w:rFonts w:eastAsia="Arial"/>
          <w:i/>
          <w:iCs/>
          <w:sz w:val="24"/>
          <w:szCs w:val="24"/>
          <w:lang w:val="en-US" w:eastAsia="en-US"/>
        </w:rPr>
        <w:t xml:space="preserve"> Shimadzu </w:t>
      </w:r>
      <w:r>
        <w:rPr>
          <w:i/>
          <w:iCs/>
          <w:color w:val="FF0000"/>
          <w:sz w:val="24"/>
          <w:szCs w:val="24"/>
          <w:lang w:val="en-GB"/>
        </w:rPr>
        <w:t>Model:</w:t>
      </w:r>
      <w:r>
        <w:rPr>
          <w:rFonts w:eastAsia="Arial"/>
          <w:i/>
          <w:iCs/>
          <w:color w:val="FF0000"/>
          <w:sz w:val="24"/>
          <w:szCs w:val="24"/>
          <w:lang w:val="en-GB"/>
        </w:rPr>
        <w:t xml:space="preserve"> </w:t>
      </w:r>
      <w:r>
        <w:rPr>
          <w:rFonts w:eastAsia="Arial"/>
          <w:i/>
          <w:iCs/>
          <w:color w:val="FF0000"/>
          <w:sz w:val="24"/>
          <w:szCs w:val="24"/>
          <w:lang w:val="en-US"/>
        </w:rPr>
        <w:t>RF-</w:t>
      </w:r>
      <w:r>
        <w:rPr>
          <w:rFonts w:eastAsia="Arial"/>
          <w:i/>
          <w:iCs/>
          <w:sz w:val="24"/>
          <w:szCs w:val="24"/>
          <w:lang w:val="en-US" w:eastAsia="en-US"/>
        </w:rPr>
        <w:t>5301</w:t>
      </w:r>
    </w:p>
    <w:p>
      <w:pPr>
        <w:pStyle w:val="Normal"/>
        <w:rPr>
          <w:i/>
          <w:iCs/>
          <w:color w:val="FF0000"/>
          <w:sz w:val="24"/>
          <w:szCs w:val="24"/>
          <w:lang w:val="en-US"/>
        </w:rPr>
      </w:pPr>
      <w:r>
        <w:rPr>
          <w:i/>
          <w:iCs/>
          <w:color w:val="FF0000"/>
          <w:sz w:val="24"/>
          <w:szCs w:val="24"/>
          <w:lang w:val="en-US"/>
        </w:rPr>
      </w:r>
    </w:p>
    <w:p>
      <w:pPr>
        <w:pStyle w:val="Normal"/>
        <w:numPr>
          <w:ilvl w:val="0"/>
          <w:numId w:val="3"/>
        </w:numPr>
        <w:tabs>
          <w:tab w:val="left" w:pos="420" w:leader="none"/>
        </w:tabs>
        <w:rPr>
          <w:b/>
          <w:bCs/>
          <w:sz w:val="22"/>
          <w:szCs w:val="22"/>
          <w:lang w:val="fr-FR"/>
        </w:rPr>
      </w:pPr>
      <w:r>
        <w:rPr>
          <w:b/>
          <w:bCs/>
          <w:sz w:val="22"/>
          <w:szCs w:val="22"/>
        </w:rPr>
        <w:t>Si #3 Si uptake</w:t>
      </w:r>
      <w:r>
        <w:rPr>
          <w:b/>
          <w:bCs/>
          <w:sz w:val="22"/>
          <w:szCs w:val="22"/>
          <w:lang w:val="fr-FR"/>
        </w:rPr>
        <w:t xml:space="preserve"> rate (</w:t>
      </w:r>
      <w:r>
        <w:rPr>
          <w:b/>
          <w:bCs/>
          <w:sz w:val="22"/>
          <w:szCs w:val="22"/>
        </w:rPr>
        <w:t>ρ</w:t>
      </w:r>
      <w:r>
        <w:rPr>
          <w:b/>
          <w:bCs/>
          <w:sz w:val="22"/>
          <w:szCs w:val="22"/>
          <w:vertAlign w:val="superscript"/>
        </w:rPr>
        <w:t>32</w:t>
      </w:r>
      <w:r>
        <w:rPr>
          <w:b/>
          <w:bCs/>
          <w:sz w:val="22"/>
          <w:szCs w:val="22"/>
          <w:lang w:val="fr-FR"/>
        </w:rPr>
        <w:t>Si)</w:t>
      </w:r>
      <w:r>
        <w:rPr>
          <w:b/>
          <w:bCs/>
          <w:sz w:val="22"/>
          <w:szCs w:val="22"/>
        </w:rPr>
        <w:t>, Si #4 Si limitation experiment</w:t>
      </w:r>
      <w:r>
        <w:rPr>
          <w:b/>
          <w:bCs/>
          <w:sz w:val="22"/>
          <w:szCs w:val="22"/>
          <w:lang w:val="fr-FR"/>
        </w:rPr>
        <w:t xml:space="preserve"> (</w:t>
      </w:r>
      <w:r>
        <w:rPr>
          <w:rFonts w:eastAsia="Symbola"/>
          <w:b/>
          <w:bCs/>
          <w:sz w:val="22"/>
          <w:szCs w:val="22"/>
        </w:rPr>
        <w:t>ρ</w:t>
      </w:r>
      <w:r>
        <w:rPr>
          <w:b/>
          <w:bCs/>
          <w:sz w:val="22"/>
          <w:szCs w:val="22"/>
          <w:vertAlign w:val="superscript"/>
        </w:rPr>
        <w:t>32</w:t>
      </w:r>
      <w:r>
        <w:rPr>
          <w:b/>
          <w:bCs/>
          <w:sz w:val="22"/>
          <w:szCs w:val="22"/>
          <w:lang w:val="fr-FR"/>
        </w:rPr>
        <w:t>Si)</w:t>
      </w:r>
    </w:p>
    <w:p>
      <w:pPr>
        <w:pStyle w:val="Normal"/>
        <w:spacing w:before="120" w:after="0"/>
        <w:rPr>
          <w:sz w:val="24"/>
          <w:szCs w:val="24"/>
          <w:lang w:val="en-US"/>
        </w:rPr>
      </w:pPr>
      <w:r>
        <w:rPr>
          <w:i/>
          <w:iCs/>
          <w:color w:val="FF0000"/>
          <w:sz w:val="24"/>
          <w:szCs w:val="24"/>
          <w:lang w:val="en-US" w:eastAsia="en-US"/>
        </w:rPr>
        <w:t>Instrument</w:t>
      </w:r>
      <w:r>
        <w:rPr>
          <w:rFonts w:eastAsia="Arial"/>
          <w:i/>
          <w:iCs/>
          <w:color w:val="FF0000"/>
          <w:sz w:val="24"/>
          <w:szCs w:val="24"/>
          <w:lang w:val="en-US" w:eastAsia="en-US"/>
        </w:rPr>
        <w:t xml:space="preserve"> </w:t>
      </w:r>
      <w:r>
        <w:rPr>
          <w:i/>
          <w:iCs/>
          <w:color w:val="FF0000"/>
          <w:sz w:val="24"/>
          <w:szCs w:val="24"/>
          <w:lang w:val="en-US" w:eastAsia="en-US"/>
        </w:rPr>
        <w:t>Type:</w:t>
      </w:r>
      <w:r>
        <w:rPr>
          <w:rFonts w:eastAsia="Arial"/>
          <w:i/>
          <w:iCs/>
          <w:color w:val="FF0000"/>
          <w:sz w:val="24"/>
          <w:szCs w:val="24"/>
          <w:lang w:val="en-US" w:eastAsia="en-US"/>
        </w:rPr>
        <w:t xml:space="preserve"> </w:t>
      </w:r>
      <w:r>
        <w:rPr>
          <w:sz w:val="24"/>
          <w:szCs w:val="24"/>
          <w:lang w:val="en-US"/>
        </w:rPr>
        <w:t xml:space="preserve"> Scintillation counter, </w:t>
      </w:r>
      <w:r>
        <w:rPr>
          <w:i/>
          <w:iCs/>
          <w:color w:val="FF0000"/>
          <w:sz w:val="24"/>
          <w:szCs w:val="24"/>
          <w:lang w:val="en-US" w:eastAsia="en-US"/>
        </w:rPr>
        <w:t>Manufacturer:</w:t>
      </w:r>
      <w:r>
        <w:rPr>
          <w:rFonts w:eastAsia="Arial"/>
          <w:i/>
          <w:iCs/>
          <w:sz w:val="24"/>
          <w:szCs w:val="24"/>
          <w:lang w:val="en-US" w:eastAsia="en-US"/>
        </w:rPr>
        <w:t xml:space="preserve"> </w:t>
      </w:r>
      <w:r>
        <w:rPr>
          <w:sz w:val="24"/>
          <w:szCs w:val="24"/>
          <w:lang w:val="en-US"/>
        </w:rPr>
        <w:t xml:space="preserve">Packard </w:t>
      </w:r>
      <w:r>
        <w:rPr>
          <w:i/>
          <w:iCs/>
          <w:color w:val="FF0000"/>
          <w:sz w:val="24"/>
          <w:szCs w:val="24"/>
          <w:lang w:val="en-GB"/>
        </w:rPr>
        <w:t>Model:</w:t>
      </w:r>
      <w:r>
        <w:rPr>
          <w:rFonts w:eastAsia="Arial"/>
          <w:i/>
          <w:iCs/>
          <w:color w:val="FF0000"/>
          <w:sz w:val="24"/>
          <w:szCs w:val="24"/>
          <w:lang w:val="en-GB"/>
        </w:rPr>
        <w:t xml:space="preserve"> </w:t>
      </w:r>
      <w:r>
        <w:rPr>
          <w:sz w:val="24"/>
          <w:szCs w:val="24"/>
          <w:lang w:val="en-US"/>
        </w:rPr>
        <w:t>Tri-carb 1500 TR</w:t>
      </w:r>
    </w:p>
    <w:p>
      <w:pPr>
        <w:pStyle w:val="Normal"/>
        <w:rPr>
          <w:sz w:val="24"/>
          <w:szCs w:val="24"/>
          <w:lang w:val="en-US"/>
        </w:rPr>
      </w:pPr>
      <w:r>
        <w:rPr>
          <w:rFonts w:eastAsia="Arial"/>
          <w:bCs/>
          <w:i/>
          <w:iCs/>
          <w:color w:val="FF0000"/>
          <w:sz w:val="24"/>
          <w:szCs w:val="24"/>
          <w:lang w:val="en-GB"/>
        </w:rPr>
        <w:t xml:space="preserve">Instrument Features / Calibration: </w:t>
      </w:r>
      <w:r>
        <w:rPr>
          <w:sz w:val="24"/>
          <w:szCs w:val="24"/>
          <w:lang w:val="en-US"/>
        </w:rPr>
        <w:t>0.5% precision</w:t>
      </w:r>
    </w:p>
    <w:p>
      <w:pPr>
        <w:pStyle w:val="Normal"/>
        <w:rPr>
          <w:sz w:val="24"/>
          <w:szCs w:val="24"/>
          <w:lang w:val="en-US"/>
        </w:rPr>
      </w:pPr>
      <w:r>
        <w:rPr>
          <w:sz w:val="24"/>
          <w:szCs w:val="24"/>
          <w:lang w:val="en-US"/>
        </w:rPr>
      </w:r>
    </w:p>
    <w:p>
      <w:pPr>
        <w:pStyle w:val="Normal"/>
        <w:numPr>
          <w:ilvl w:val="0"/>
          <w:numId w:val="3"/>
        </w:numPr>
        <w:tabs>
          <w:tab w:val="left" w:pos="420" w:leader="none"/>
        </w:tabs>
        <w:rPr>
          <w:b/>
          <w:bCs/>
          <w:sz w:val="22"/>
          <w:szCs w:val="22"/>
          <w:lang w:val="fr-FR"/>
        </w:rPr>
      </w:pPr>
      <w:r>
        <w:rPr>
          <w:b/>
          <w:bCs/>
          <w:sz w:val="22"/>
          <w:szCs w:val="22"/>
        </w:rPr>
        <w:t>Si #6 S</w:t>
      </w:r>
      <w:r>
        <w:rPr>
          <w:b/>
          <w:bCs/>
          <w:sz w:val="22"/>
          <w:szCs w:val="22"/>
          <w:lang w:val="fr-FR"/>
        </w:rPr>
        <w:t xml:space="preserve">pecific </w:t>
      </w:r>
      <w:r>
        <w:rPr>
          <w:b/>
          <w:bCs/>
          <w:sz w:val="22"/>
          <w:szCs w:val="22"/>
        </w:rPr>
        <w:t xml:space="preserve">Si </w:t>
      </w:r>
      <w:r>
        <w:rPr>
          <w:b/>
          <w:bCs/>
          <w:sz w:val="22"/>
          <w:szCs w:val="22"/>
          <w:lang w:val="fr-FR"/>
        </w:rPr>
        <w:t>production rate (</w:t>
      </w:r>
      <w:r>
        <w:rPr>
          <w:rFonts w:eastAsia="Symbola"/>
          <w:b/>
          <w:bCs/>
          <w:sz w:val="22"/>
          <w:szCs w:val="22"/>
        </w:rPr>
        <w:t>ρ</w:t>
      </w:r>
      <w:r>
        <w:rPr>
          <w:b/>
          <w:bCs/>
          <w:sz w:val="22"/>
          <w:szCs w:val="22"/>
          <w:lang w:val="fr-FR"/>
        </w:rPr>
        <w:t>PDMPO)</w:t>
      </w:r>
    </w:p>
    <w:p>
      <w:pPr>
        <w:pStyle w:val="Normal"/>
        <w:spacing w:before="120" w:after="0"/>
        <w:rPr>
          <w:rFonts w:eastAsia="Arial"/>
          <w:sz w:val="24"/>
          <w:szCs w:val="24"/>
          <w:lang w:val="en-US"/>
        </w:rPr>
      </w:pPr>
      <w:r>
        <w:rPr>
          <w:i/>
          <w:iCs/>
          <w:color w:val="FF0000"/>
          <w:sz w:val="24"/>
          <w:szCs w:val="24"/>
          <w:lang w:val="en-US" w:eastAsia="en-US"/>
        </w:rPr>
        <w:t>Instrument</w:t>
      </w:r>
      <w:r>
        <w:rPr>
          <w:rFonts w:eastAsia="Arial"/>
          <w:i/>
          <w:iCs/>
          <w:color w:val="FF0000"/>
          <w:sz w:val="24"/>
          <w:szCs w:val="24"/>
          <w:lang w:val="en-US" w:eastAsia="en-US"/>
        </w:rPr>
        <w:t xml:space="preserve"> </w:t>
      </w:r>
      <w:r>
        <w:rPr>
          <w:i/>
          <w:iCs/>
          <w:color w:val="FF0000"/>
          <w:sz w:val="24"/>
          <w:szCs w:val="24"/>
          <w:lang w:val="en-US" w:eastAsia="en-US"/>
        </w:rPr>
        <w:t>Type:</w:t>
      </w:r>
      <w:r>
        <w:rPr>
          <w:rFonts w:eastAsia="Arial"/>
          <w:i/>
          <w:iCs/>
          <w:color w:val="FF0000"/>
          <w:sz w:val="24"/>
          <w:szCs w:val="24"/>
          <w:lang w:val="en-US" w:eastAsia="en-US"/>
        </w:rPr>
        <w:t xml:space="preserve">  </w:t>
      </w:r>
      <w:r>
        <w:rPr>
          <w:sz w:val="24"/>
          <w:szCs w:val="24"/>
          <w:lang w:val="en-US"/>
        </w:rPr>
        <w:t xml:space="preserve">Epifluorescence inverted microscope, </w:t>
      </w:r>
      <w:r>
        <w:rPr>
          <w:i/>
          <w:iCs/>
          <w:color w:val="FF0000"/>
          <w:sz w:val="24"/>
          <w:szCs w:val="24"/>
          <w:lang w:val="en-US" w:eastAsia="en-US"/>
        </w:rPr>
        <w:t>Manufacturer:</w:t>
      </w:r>
      <w:r>
        <w:rPr>
          <w:rFonts w:eastAsia="Arial"/>
          <w:i/>
          <w:iCs/>
          <w:sz w:val="24"/>
          <w:szCs w:val="24"/>
          <w:lang w:val="en-US" w:eastAsia="en-US"/>
        </w:rPr>
        <w:t xml:space="preserve"> </w:t>
      </w:r>
      <w:r>
        <w:rPr>
          <w:sz w:val="24"/>
          <w:szCs w:val="24"/>
          <w:lang w:val="en-US"/>
        </w:rPr>
        <w:t xml:space="preserve">Zeiss </w:t>
      </w:r>
      <w:r>
        <w:rPr>
          <w:i/>
          <w:iCs/>
          <w:color w:val="FF0000"/>
          <w:sz w:val="24"/>
          <w:szCs w:val="24"/>
          <w:lang w:val="en-GB"/>
        </w:rPr>
        <w:t>Model:</w:t>
      </w:r>
      <w:r>
        <w:rPr>
          <w:rFonts w:eastAsia="Arial"/>
          <w:i/>
          <w:iCs/>
          <w:color w:val="FF0000"/>
          <w:sz w:val="24"/>
          <w:szCs w:val="24"/>
          <w:lang w:val="en-GB"/>
        </w:rPr>
        <w:t xml:space="preserve"> </w:t>
      </w:r>
      <w:r>
        <w:rPr>
          <w:sz w:val="24"/>
          <w:szCs w:val="24"/>
          <w:lang w:val="en-US"/>
        </w:rPr>
        <w:t xml:space="preserve">Axiovert </w:t>
      </w:r>
      <w:r>
        <w:rPr>
          <w:i/>
          <w:iCs/>
          <w:color w:val="FF0000"/>
          <w:sz w:val="24"/>
          <w:szCs w:val="24"/>
          <w:lang w:val="en-US" w:eastAsia="en-US"/>
        </w:rPr>
        <w:t>Instrument</w:t>
      </w:r>
      <w:r>
        <w:rPr>
          <w:rFonts w:eastAsia="Arial"/>
          <w:i/>
          <w:iCs/>
          <w:color w:val="FF0000"/>
          <w:sz w:val="24"/>
          <w:szCs w:val="24"/>
          <w:lang w:val="en-US" w:eastAsia="en-US"/>
        </w:rPr>
        <w:t xml:space="preserve"> </w:t>
      </w:r>
      <w:r>
        <w:rPr>
          <w:i/>
          <w:iCs/>
          <w:color w:val="FF0000"/>
          <w:sz w:val="24"/>
          <w:szCs w:val="24"/>
          <w:lang w:val="en-US" w:eastAsia="en-US"/>
        </w:rPr>
        <w:t>Type:</w:t>
      </w:r>
      <w:r>
        <w:rPr>
          <w:rFonts w:eastAsia="Arial"/>
          <w:i/>
          <w:iCs/>
          <w:color w:val="FF0000"/>
          <w:sz w:val="24"/>
          <w:szCs w:val="24"/>
          <w:lang w:val="en-US" w:eastAsia="en-US"/>
        </w:rPr>
        <w:t xml:space="preserve"> </w:t>
      </w:r>
      <w:r>
        <w:rPr>
          <w:sz w:val="24"/>
          <w:szCs w:val="24"/>
          <w:lang w:val="en-US"/>
        </w:rPr>
        <w:t xml:space="preserve"> Fluorometer, </w:t>
      </w:r>
      <w:r>
        <w:rPr>
          <w:i/>
          <w:iCs/>
          <w:color w:val="FF0000"/>
          <w:sz w:val="24"/>
          <w:szCs w:val="24"/>
          <w:lang w:val="en-US" w:eastAsia="en-US"/>
        </w:rPr>
        <w:t>Manufacturer:</w:t>
      </w:r>
      <w:r>
        <w:rPr>
          <w:rFonts w:eastAsia="Arial"/>
          <w:i/>
          <w:iCs/>
          <w:sz w:val="24"/>
          <w:szCs w:val="24"/>
          <w:lang w:val="en-US" w:eastAsia="en-US"/>
        </w:rPr>
        <w:t xml:space="preserve"> </w:t>
      </w:r>
      <w:r>
        <w:rPr>
          <w:sz w:val="24"/>
          <w:szCs w:val="24"/>
          <w:lang w:val="en-US"/>
        </w:rPr>
        <w:t xml:space="preserve">Turner Design </w:t>
      </w:r>
      <w:r>
        <w:rPr>
          <w:i/>
          <w:iCs/>
          <w:color w:val="FF0000"/>
          <w:sz w:val="24"/>
          <w:szCs w:val="24"/>
          <w:lang w:val="en-GB"/>
        </w:rPr>
        <w:t>Model:</w:t>
      </w:r>
      <w:r>
        <w:rPr>
          <w:rFonts w:eastAsia="Arial"/>
          <w:i/>
          <w:iCs/>
          <w:color w:val="FF0000"/>
          <w:sz w:val="24"/>
          <w:szCs w:val="24"/>
          <w:lang w:val="en-GB"/>
        </w:rPr>
        <w:t xml:space="preserve"> </w:t>
      </w:r>
      <w:r>
        <w:rPr>
          <w:sz w:val="24"/>
          <w:szCs w:val="24"/>
          <w:lang w:val="en-US"/>
        </w:rPr>
        <w:t xml:space="preserve">Trilogy </w:t>
      </w:r>
      <w:r>
        <w:rPr>
          <w:i/>
          <w:iCs/>
          <w:color w:val="FF0000"/>
          <w:sz w:val="24"/>
          <w:szCs w:val="24"/>
          <w:lang w:val="en-GB"/>
        </w:rPr>
        <w:t>Model:</w:t>
      </w:r>
      <w:r>
        <w:rPr>
          <w:rFonts w:eastAsia="Arial"/>
          <w:i/>
          <w:iCs/>
          <w:color w:val="FF0000"/>
          <w:sz w:val="24"/>
          <w:szCs w:val="24"/>
          <w:lang w:val="en-GB"/>
        </w:rPr>
        <w:t xml:space="preserve"> </w:t>
      </w:r>
      <w:r>
        <w:rPr>
          <w:rFonts w:eastAsia="Arial"/>
          <w:sz w:val="24"/>
          <w:szCs w:val="24"/>
          <w:lang w:val="en-US"/>
        </w:rPr>
        <w:t>Crude Oil fluorescence module</w:t>
      </w:r>
    </w:p>
    <w:p>
      <w:pPr>
        <w:pStyle w:val="Normal"/>
        <w:rPr>
          <w:sz w:val="24"/>
          <w:szCs w:val="24"/>
          <w:lang w:val="en-GB"/>
        </w:rPr>
      </w:pPr>
      <w:r>
        <w:rPr>
          <w:sz w:val="24"/>
          <w:szCs w:val="24"/>
          <w:lang w:val="en-GB"/>
        </w:rPr>
      </w:r>
    </w:p>
    <w:p>
      <w:pPr>
        <w:pStyle w:val="Normal"/>
        <w:numPr>
          <w:ilvl w:val="0"/>
          <w:numId w:val="3"/>
        </w:numPr>
        <w:tabs>
          <w:tab w:val="left" w:pos="420" w:leader="none"/>
        </w:tabs>
        <w:rPr>
          <w:b/>
          <w:bCs/>
          <w:sz w:val="22"/>
          <w:szCs w:val="22"/>
          <w:lang w:val="en-US"/>
        </w:rPr>
      </w:pPr>
      <w:r>
        <w:rPr>
          <w:b/>
          <w:bCs/>
          <w:sz w:val="22"/>
          <w:szCs w:val="22"/>
          <w:lang w:val="en-US"/>
        </w:rPr>
        <w:t>Si #7  Diatom taxonomy and abundance</w:t>
        <w:tab/>
      </w:r>
    </w:p>
    <w:p>
      <w:pPr>
        <w:pStyle w:val="Normal"/>
        <w:rPr>
          <w:sz w:val="24"/>
          <w:szCs w:val="24"/>
        </w:rPr>
      </w:pPr>
      <w:r>
        <w:rPr>
          <w:i/>
          <w:iCs/>
          <w:color w:val="FF0000"/>
          <w:sz w:val="24"/>
          <w:szCs w:val="24"/>
          <w:lang w:val="en-US" w:eastAsia="en-US"/>
        </w:rPr>
        <w:t>Instrument</w:t>
      </w:r>
      <w:r>
        <w:rPr>
          <w:rFonts w:eastAsia="Arial"/>
          <w:i/>
          <w:iCs/>
          <w:color w:val="FF0000"/>
          <w:sz w:val="24"/>
          <w:szCs w:val="24"/>
          <w:lang w:val="en-US" w:eastAsia="en-US"/>
        </w:rPr>
        <w:t xml:space="preserve"> </w:t>
      </w:r>
      <w:r>
        <w:rPr>
          <w:i/>
          <w:iCs/>
          <w:color w:val="FF0000"/>
          <w:sz w:val="24"/>
          <w:szCs w:val="24"/>
          <w:lang w:val="en-US" w:eastAsia="en-US"/>
        </w:rPr>
        <w:t>Type:</w:t>
      </w:r>
      <w:r>
        <w:rPr>
          <w:rFonts w:eastAsia="Arial"/>
          <w:i/>
          <w:iCs/>
          <w:color w:val="FF0000"/>
          <w:sz w:val="24"/>
          <w:szCs w:val="24"/>
          <w:lang w:val="en-US" w:eastAsia="en-US"/>
        </w:rPr>
        <w:t xml:space="preserve"> </w:t>
      </w:r>
      <w:r>
        <w:rPr>
          <w:rFonts w:eastAsia="Arial"/>
          <w:i/>
          <w:iCs/>
          <w:color w:val="FF0000"/>
          <w:sz w:val="24"/>
          <w:szCs w:val="24"/>
          <w:lang w:eastAsia="en-US"/>
        </w:rPr>
        <w:t xml:space="preserve"> </w:t>
      </w:r>
      <w:r>
        <w:rPr>
          <w:sz w:val="24"/>
          <w:szCs w:val="24"/>
        </w:rPr>
        <w:t xml:space="preserve">Inverted microscope, </w:t>
      </w:r>
      <w:r>
        <w:rPr>
          <w:i/>
          <w:iCs/>
          <w:color w:val="FF0000"/>
          <w:sz w:val="24"/>
          <w:szCs w:val="24"/>
          <w:lang w:val="en-US" w:eastAsia="en-US"/>
        </w:rPr>
        <w:t>Manufacturer:</w:t>
      </w:r>
      <w:r>
        <w:rPr>
          <w:rFonts w:eastAsia="Arial"/>
          <w:i/>
          <w:iCs/>
          <w:sz w:val="24"/>
          <w:szCs w:val="24"/>
          <w:lang w:val="en-US" w:eastAsia="en-US"/>
        </w:rPr>
        <w:t xml:space="preserve"> </w:t>
      </w:r>
      <w:r>
        <w:rPr>
          <w:sz w:val="24"/>
          <w:szCs w:val="24"/>
        </w:rPr>
        <w:t xml:space="preserve">Nikon </w:t>
      </w:r>
      <w:r>
        <w:rPr>
          <w:i/>
          <w:iCs/>
          <w:color w:val="FF0000"/>
          <w:sz w:val="24"/>
          <w:szCs w:val="24"/>
          <w:lang w:val="en-GB"/>
        </w:rPr>
        <w:t>Model:</w:t>
      </w:r>
      <w:r>
        <w:rPr>
          <w:rFonts w:eastAsia="Arial"/>
          <w:i/>
          <w:iCs/>
          <w:color w:val="FF0000"/>
          <w:sz w:val="24"/>
          <w:szCs w:val="24"/>
          <w:lang w:val="en-GB"/>
        </w:rPr>
        <w:t xml:space="preserve"> </w:t>
      </w:r>
      <w:r>
        <w:rPr>
          <w:sz w:val="24"/>
          <w:szCs w:val="24"/>
        </w:rPr>
        <w:t>TE-2000</w:t>
      </w:r>
    </w:p>
    <w:p>
      <w:pPr>
        <w:pStyle w:val="Titre3"/>
        <w:numPr>
          <w:ilvl w:val="0"/>
          <w:numId w:val="2"/>
        </w:numPr>
        <w:pBdr>
          <w:top w:val="nil"/>
          <w:left w:val="nil"/>
          <w:bottom w:val="single" w:sz="4" w:space="1" w:color="000001"/>
          <w:right w:val="nil"/>
        </w:pBdr>
        <w:tabs>
          <w:tab w:val="left" w:pos="0" w:leader="none"/>
          <w:tab w:val="left" w:pos="360" w:leader="none"/>
        </w:tabs>
        <w:rPr>
          <w:bCs/>
          <w:i/>
          <w:iCs/>
        </w:rPr>
      </w:pPr>
      <w:r>
        <w:rPr>
          <w:bCs/>
        </w:rPr>
        <w:t>DESCRIPTION</w:t>
      </w:r>
      <w:r>
        <w:rPr>
          <w:rFonts w:eastAsia="Arial"/>
          <w:bCs/>
        </w:rPr>
        <w:t xml:space="preserve"> </w:t>
      </w:r>
      <w:r>
        <w:rPr>
          <w:bCs/>
        </w:rPr>
        <w:t>DES</w:t>
      </w:r>
      <w:r>
        <w:rPr>
          <w:rFonts w:eastAsia="Arial"/>
          <w:bCs/>
        </w:rPr>
        <w:t xml:space="preserve"> </w:t>
      </w:r>
      <w:r>
        <w:rPr>
          <w:bCs/>
        </w:rPr>
        <w:t>PARAMETRES</w:t>
      </w:r>
      <w:r>
        <w:rPr>
          <w:rFonts w:eastAsia="Arial"/>
          <w:bCs/>
        </w:rPr>
        <w:t xml:space="preserve"> </w:t>
      </w:r>
      <w:r>
        <w:rPr>
          <w:bCs/>
          <w:i/>
          <w:iCs/>
        </w:rPr>
        <w:t>/</w:t>
      </w:r>
      <w:r>
        <w:rPr>
          <w:rFonts w:eastAsia="Arial"/>
          <w:bCs/>
          <w:i/>
          <w:iCs/>
        </w:rPr>
        <w:t xml:space="preserve">  </w:t>
      </w:r>
      <w:r>
        <w:rPr>
          <w:bCs/>
          <w:i/>
          <w:iCs/>
        </w:rPr>
        <w:t>PARAMETERS</w:t>
      </w:r>
      <w:r>
        <w:rPr>
          <w:rFonts w:eastAsia="Arial"/>
          <w:bCs/>
          <w:i/>
          <w:iCs/>
        </w:rPr>
        <w:t xml:space="preserve"> </w:t>
      </w:r>
      <w:r>
        <w:rPr>
          <w:bCs/>
          <w:i/>
          <w:iCs/>
        </w:rPr>
        <w:t>DESCRIPTION</w:t>
      </w:r>
    </w:p>
    <w:p>
      <w:pPr>
        <w:pStyle w:val="Normal"/>
        <w:rPr>
          <w:bCs/>
        </w:rPr>
      </w:pPr>
      <w:r>
        <w:rPr>
          <w:bCs/>
        </w:rPr>
      </w:r>
    </w:p>
    <w:p>
      <w:pPr>
        <w:pStyle w:val="Titre1"/>
        <w:numPr>
          <w:ilvl w:val="1"/>
          <w:numId w:val="2"/>
        </w:numPr>
        <w:tabs>
          <w:tab w:val="left" w:pos="0" w:leader="none"/>
          <w:tab w:val="left" w:pos="792" w:leader="none"/>
        </w:tabs>
        <w:ind w:left="0" w:right="0" w:hanging="432"/>
        <w:rPr>
          <w:rFonts w:eastAsia="Arial"/>
          <w:lang w:val="en-GB"/>
        </w:rPr>
      </w:pPr>
      <w:r>
        <w:rPr>
          <w:lang w:val="en-GB"/>
        </w:rPr>
        <w:t>Ce</w:t>
      </w:r>
      <w:r>
        <w:rPr>
          <w:rFonts w:eastAsia="Arial"/>
          <w:lang w:val="en-GB"/>
        </w:rPr>
        <w:t xml:space="preserve"> </w:t>
      </w:r>
      <w:r>
        <w:rPr>
          <w:lang w:val="en-GB"/>
        </w:rPr>
        <w:t>qui</w:t>
      </w:r>
      <w:r>
        <w:rPr>
          <w:rFonts w:eastAsia="Arial"/>
          <w:lang w:val="en-GB"/>
        </w:rPr>
        <w:t xml:space="preserve"> </w:t>
      </w:r>
      <w:r>
        <w:rPr>
          <w:lang w:val="en-GB"/>
        </w:rPr>
        <w:t>a</w:t>
      </w:r>
      <w:r>
        <w:rPr>
          <w:rFonts w:eastAsia="Arial"/>
          <w:lang w:val="en-GB"/>
        </w:rPr>
        <w:t xml:space="preserve"> </w:t>
      </w:r>
      <w:r>
        <w:rPr>
          <w:lang w:val="en-GB"/>
        </w:rPr>
        <w:t>été</w:t>
      </w:r>
      <w:r>
        <w:rPr>
          <w:rFonts w:eastAsia="Arial"/>
          <w:lang w:val="en-GB"/>
        </w:rPr>
        <w:t xml:space="preserve"> </w:t>
      </w:r>
      <w:r>
        <w:rPr>
          <w:lang w:val="en-GB"/>
        </w:rPr>
        <w:t>collecté,</w:t>
      </w:r>
      <w:r>
        <w:rPr>
          <w:rFonts w:eastAsia="Arial"/>
          <w:lang w:val="en-GB"/>
        </w:rPr>
        <w:t xml:space="preserve"> </w:t>
      </w:r>
      <w:r>
        <w:rPr>
          <w:lang w:val="en-GB"/>
        </w:rPr>
        <w:t>mesuré</w:t>
      </w:r>
      <w:r>
        <w:rPr>
          <w:rFonts w:eastAsia="Arial"/>
          <w:lang w:val="en-GB"/>
        </w:rPr>
        <w:t xml:space="preserve"> </w:t>
      </w:r>
      <w:r>
        <w:rPr>
          <w:lang w:val="en-GB"/>
        </w:rPr>
        <w:t>et</w:t>
      </w:r>
      <w:r>
        <w:rPr>
          <w:rFonts w:eastAsia="Arial"/>
          <w:lang w:val="en-GB"/>
        </w:rPr>
        <w:t xml:space="preserve"> </w:t>
      </w:r>
      <w:r>
        <w:rPr>
          <w:lang w:val="en-GB"/>
        </w:rPr>
        <w:t>comment</w:t>
      </w:r>
      <w:r>
        <w:rPr>
          <w:rFonts w:eastAsia="Arial"/>
          <w:lang w:val="en-GB"/>
        </w:rPr>
        <w:t xml:space="preserve"> </w:t>
      </w:r>
      <w:r>
        <w:rPr>
          <w:lang w:val="en-GB"/>
        </w:rPr>
        <w:t>/</w:t>
      </w:r>
      <w:r>
        <w:rPr>
          <w:rFonts w:eastAsia="Arial"/>
          <w:lang w:val="en-GB"/>
        </w:rPr>
        <w:t xml:space="preserve"> </w:t>
      </w:r>
      <w:r>
        <w:rPr>
          <w:i/>
          <w:iCs/>
          <w:lang w:val="en-GB"/>
        </w:rPr>
        <w:t>How</w:t>
      </w:r>
      <w:r>
        <w:rPr>
          <w:rFonts w:eastAsia="Arial"/>
          <w:i/>
          <w:iCs/>
          <w:lang w:val="en-GB"/>
        </w:rPr>
        <w:t xml:space="preserve"> </w:t>
      </w:r>
      <w:r>
        <w:rPr>
          <w:i/>
          <w:iCs/>
          <w:lang w:val="en-GB"/>
        </w:rPr>
        <w:t>was</w:t>
      </w:r>
      <w:r>
        <w:rPr>
          <w:rFonts w:eastAsia="Arial"/>
          <w:i/>
          <w:iCs/>
          <w:lang w:val="en-GB"/>
        </w:rPr>
        <w:t xml:space="preserve"> </w:t>
      </w:r>
      <w:r>
        <w:rPr>
          <w:i/>
          <w:iCs/>
          <w:lang w:val="en-GB"/>
        </w:rPr>
        <w:t>the</w:t>
      </w:r>
      <w:r>
        <w:rPr>
          <w:rFonts w:eastAsia="Arial"/>
          <w:i/>
          <w:iCs/>
          <w:lang w:val="en-GB"/>
        </w:rPr>
        <w:t xml:space="preserve"> </w:t>
      </w:r>
      <w:r>
        <w:rPr>
          <w:i/>
          <w:iCs/>
          <w:lang w:val="en-GB"/>
        </w:rPr>
        <w:t>parameter</w:t>
      </w:r>
      <w:r>
        <w:rPr>
          <w:rFonts w:eastAsia="Arial"/>
          <w:i/>
          <w:iCs/>
          <w:lang w:val="en-GB"/>
        </w:rPr>
        <w:t xml:space="preserve"> </w:t>
      </w:r>
      <w:r>
        <w:rPr>
          <w:i/>
          <w:iCs/>
          <w:lang w:val="en-GB"/>
        </w:rPr>
        <w:t>collected</w:t>
      </w:r>
      <w:r>
        <w:rPr>
          <w:rFonts w:eastAsia="Arial"/>
          <w:i/>
          <w:iCs/>
          <w:lang w:val="en-GB"/>
        </w:rPr>
        <w:t xml:space="preserve"> </w:t>
      </w:r>
      <w:r>
        <w:rPr>
          <w:i/>
          <w:iCs/>
          <w:lang w:val="en-GB"/>
        </w:rPr>
        <w:t>and</w:t>
      </w:r>
      <w:r>
        <w:rPr>
          <w:rFonts w:eastAsia="Arial"/>
          <w:i/>
          <w:iCs/>
          <w:lang w:val="en-GB"/>
        </w:rPr>
        <w:t xml:space="preserve"> </w:t>
      </w:r>
      <w:r>
        <w:rPr>
          <w:i/>
          <w:iCs/>
          <w:lang w:val="en-GB"/>
        </w:rPr>
        <w:t>measured</w:t>
      </w:r>
      <w:r>
        <w:rPr>
          <w:rFonts w:eastAsia="Arial"/>
          <w:i/>
          <w:iCs/>
          <w:lang w:val="en-GB"/>
        </w:rPr>
        <w:t xml:space="preserve"> </w:t>
      </w:r>
      <w:r>
        <w:rPr>
          <w:i/>
          <w:iCs/>
          <w:lang w:val="en-GB"/>
        </w:rPr>
        <w:t>(include</w:t>
      </w:r>
      <w:r>
        <w:rPr>
          <w:rFonts w:eastAsia="Arial"/>
          <w:i/>
          <w:iCs/>
          <w:lang w:val="en-GB"/>
        </w:rPr>
        <w:t xml:space="preserve"> </w:t>
      </w:r>
      <w:r>
        <w:rPr>
          <w:i/>
          <w:iCs/>
          <w:lang w:val="en-GB"/>
        </w:rPr>
        <w:t>references</w:t>
      </w:r>
      <w:r>
        <w:rPr>
          <w:rFonts w:eastAsia="Arial"/>
          <w:i/>
          <w:iCs/>
          <w:lang w:val="en-GB"/>
        </w:rPr>
        <w:t xml:space="preserve"> </w:t>
      </w:r>
      <w:r>
        <w:rPr>
          <w:i/>
          <w:iCs/>
          <w:lang w:val="en-GB"/>
        </w:rPr>
        <w:t>for</w:t>
      </w:r>
      <w:r>
        <w:rPr>
          <w:rFonts w:eastAsia="Arial"/>
          <w:i/>
          <w:iCs/>
          <w:lang w:val="en-GB"/>
        </w:rPr>
        <w:t xml:space="preserve"> </w:t>
      </w:r>
      <w:r>
        <w:rPr>
          <w:i/>
          <w:iCs/>
          <w:lang w:val="en-GB"/>
        </w:rPr>
        <w:t>analytical</w:t>
      </w:r>
      <w:r>
        <w:rPr>
          <w:rFonts w:eastAsia="Arial"/>
          <w:i/>
          <w:iCs/>
          <w:lang w:val="en-GB"/>
        </w:rPr>
        <w:t xml:space="preserve"> </w:t>
      </w:r>
      <w:r>
        <w:rPr>
          <w:i/>
          <w:iCs/>
          <w:lang w:val="en-GB"/>
        </w:rPr>
        <w:t>methods)?</w:t>
      </w:r>
      <w:r>
        <w:rPr>
          <w:rFonts w:eastAsia="Arial"/>
          <w:lang w:val="en-GB"/>
        </w:rPr>
        <w:t xml:space="preserve">  </w:t>
      </w:r>
    </w:p>
    <w:p>
      <w:pPr>
        <w:pStyle w:val="Normal"/>
        <w:ind w:left="360" w:right="0" w:hanging="0"/>
        <w:jc w:val="both"/>
        <w:rPr>
          <w:u w:val="single"/>
          <w:lang w:val="en-US"/>
        </w:rPr>
      </w:pPr>
      <w:r>
        <w:rPr>
          <w:u w:val="single"/>
          <w:lang w:val="en-US"/>
        </w:rPr>
      </w:r>
    </w:p>
    <w:p>
      <w:pPr>
        <w:pStyle w:val="Normal"/>
        <w:widowControl w:val="false"/>
        <w:spacing w:lineRule="atLeast" w:line="200"/>
        <w:jc w:val="both"/>
        <w:rPr>
          <w:rFonts w:eastAsia="Arial"/>
          <w:i/>
          <w:iCs/>
          <w:color w:val="FF0000"/>
          <w:sz w:val="24"/>
          <w:szCs w:val="24"/>
          <w:lang w:val="en-US" w:eastAsia="en-US"/>
        </w:rPr>
      </w:pPr>
      <w:r>
        <w:rPr>
          <w:i/>
          <w:iCs/>
          <w:color w:val="FF0000"/>
          <w:sz w:val="24"/>
          <w:szCs w:val="24"/>
          <w:u w:val="single"/>
          <w:lang w:val="en-US" w:eastAsia="en-US"/>
        </w:rPr>
        <w:t>Sampling:</w:t>
      </w:r>
      <w:r>
        <w:rPr>
          <w:rFonts w:eastAsia="Arial"/>
          <w:i/>
          <w:iCs/>
          <w:color w:val="FF0000"/>
          <w:sz w:val="24"/>
          <w:szCs w:val="24"/>
          <w:lang w:val="en-US" w:eastAsia="en-US"/>
        </w:rPr>
        <w:t xml:space="preserve"> </w:t>
      </w:r>
    </w:p>
    <w:p>
      <w:pPr>
        <w:pStyle w:val="Normal"/>
        <w:rPr>
          <w:b/>
          <w:bCs/>
          <w:sz w:val="22"/>
          <w:szCs w:val="22"/>
          <w:lang w:val="en-US"/>
        </w:rPr>
      </w:pPr>
      <w:r>
        <w:rPr>
          <w:b/>
          <w:bCs/>
          <w:sz w:val="22"/>
          <w:szCs w:val="22"/>
          <w:lang w:val="en-US"/>
        </w:rPr>
        <w:t xml:space="preserve">For Si #1, Si #2 and Si #5 </w:t>
      </w:r>
    </w:p>
    <w:p>
      <w:pPr>
        <w:pStyle w:val="Normal"/>
        <w:widowControl w:val="false"/>
        <w:spacing w:lineRule="atLeast" w:line="200"/>
        <w:jc w:val="both"/>
        <w:rPr>
          <w:rFonts w:eastAsia="Arial"/>
          <w:sz w:val="24"/>
          <w:szCs w:val="24"/>
          <w:lang w:val="en-US" w:eastAsia="en-US"/>
        </w:rPr>
      </w:pPr>
      <w:r>
        <w:rPr>
          <w:rFonts w:eastAsia="Arial"/>
          <w:sz w:val="24"/>
          <w:szCs w:val="24"/>
          <w:lang w:val="en-US" w:eastAsia="en-US"/>
        </w:rPr>
        <w:t>Filtration on PC filters (0.4µm), dry at 40°C and kept at room temlperature, filtrate for silicate where kept at 4°C in falcon PC tube.</w:t>
      </w:r>
    </w:p>
    <w:p>
      <w:pPr>
        <w:pStyle w:val="Normal"/>
        <w:widowControl w:val="false"/>
        <w:spacing w:lineRule="atLeast" w:line="200"/>
        <w:jc w:val="both"/>
        <w:rPr>
          <w:rFonts w:eastAsia="Arial"/>
          <w:sz w:val="24"/>
          <w:szCs w:val="24"/>
          <w:lang w:val="en-US" w:eastAsia="en-US"/>
        </w:rPr>
      </w:pPr>
      <w:r>
        <w:rPr>
          <w:rFonts w:eastAsia="Arial"/>
          <w:sz w:val="24"/>
          <w:szCs w:val="24"/>
          <w:lang w:val="en-US" w:eastAsia="en-US"/>
        </w:rPr>
        <w:t>- Water (for bSi 6 depth: 0m, 1.5 m, 5 m; 14 or 20 m, 40 and 60 m; 3 rst depth for dissolution)</w:t>
      </w:r>
    </w:p>
    <w:p>
      <w:pPr>
        <w:pStyle w:val="Normal"/>
        <w:widowControl w:val="false"/>
        <w:spacing w:lineRule="atLeast" w:line="200"/>
        <w:jc w:val="both"/>
        <w:rPr>
          <w:rFonts w:eastAsia="Arial"/>
          <w:sz w:val="24"/>
          <w:szCs w:val="24"/>
          <w:lang w:val="en-US" w:eastAsia="en-US"/>
        </w:rPr>
      </w:pPr>
      <w:r>
        <w:rPr>
          <w:rFonts w:eastAsia="Arial"/>
          <w:sz w:val="24"/>
          <w:szCs w:val="24"/>
          <w:lang w:val="en-US" w:eastAsia="en-US"/>
        </w:rPr>
        <w:t>- Ice, dilution with filtered seawater to promote melting of the ice and then filtration etc...</w:t>
      </w:r>
    </w:p>
    <w:p>
      <w:pPr>
        <w:pStyle w:val="Normal"/>
        <w:widowControl w:val="false"/>
        <w:spacing w:lineRule="atLeast" w:line="200"/>
        <w:jc w:val="both"/>
        <w:rPr>
          <w:rFonts w:eastAsia="Arial"/>
          <w:sz w:val="24"/>
          <w:szCs w:val="24"/>
          <w:lang w:val="en-US" w:eastAsia="en-US"/>
        </w:rPr>
      </w:pPr>
      <w:r>
        <w:rPr>
          <w:rFonts w:eastAsia="Arial"/>
          <w:sz w:val="24"/>
          <w:szCs w:val="24"/>
          <w:lang w:val="en-US" w:eastAsia="en-US"/>
        </w:rPr>
        <w:t xml:space="preserve">two depth in each ice core: 0-3cm and 3-10 cm </w:t>
      </w:r>
    </w:p>
    <w:p>
      <w:pPr>
        <w:pStyle w:val="Normal"/>
        <w:widowControl w:val="false"/>
        <w:spacing w:lineRule="atLeast" w:line="200"/>
        <w:jc w:val="both"/>
        <w:rPr>
          <w:rFonts w:eastAsia="Arial"/>
          <w:sz w:val="24"/>
          <w:szCs w:val="24"/>
          <w:lang w:val="en-US" w:eastAsia="en-US"/>
        </w:rPr>
      </w:pPr>
      <w:r>
        <w:rPr>
          <w:rFonts w:eastAsia="Arial"/>
          <w:sz w:val="24"/>
          <w:szCs w:val="24"/>
          <w:lang w:val="en-US" w:eastAsia="en-US"/>
        </w:rPr>
        <w:t>- sediment traps only for bSi and bSi dissolution</w:t>
      </w:r>
    </w:p>
    <w:p>
      <w:pPr>
        <w:pStyle w:val="Normal"/>
        <w:rPr>
          <w:b/>
          <w:bCs/>
          <w:sz w:val="22"/>
          <w:szCs w:val="22"/>
          <w:lang w:val="en-US"/>
        </w:rPr>
      </w:pPr>
      <w:r>
        <w:rPr>
          <w:b/>
          <w:bCs/>
          <w:sz w:val="22"/>
          <w:szCs w:val="22"/>
          <w:lang w:val="en-US"/>
        </w:rPr>
      </w:r>
    </w:p>
    <w:p>
      <w:pPr>
        <w:pStyle w:val="Normal"/>
        <w:rPr>
          <w:b/>
          <w:bCs/>
          <w:sz w:val="22"/>
          <w:szCs w:val="22"/>
        </w:rPr>
      </w:pPr>
      <w:r>
        <w:rPr>
          <w:b/>
          <w:bCs/>
          <w:sz w:val="22"/>
          <w:szCs w:val="22"/>
        </w:rPr>
        <w:t xml:space="preserve">For Si #3, Si #4, Si #6 and Si #7 </w:t>
      </w:r>
    </w:p>
    <w:p>
      <w:pPr>
        <w:pStyle w:val="Normal"/>
        <w:widowControl w:val="false"/>
        <w:spacing w:lineRule="atLeast" w:line="200"/>
        <w:jc w:val="both"/>
        <w:rPr>
          <w:rFonts w:eastAsia="Arial"/>
          <w:sz w:val="24"/>
          <w:szCs w:val="24"/>
          <w:lang w:val="en-US" w:eastAsia="en-US"/>
        </w:rPr>
      </w:pPr>
      <w:r>
        <w:rPr>
          <w:rFonts w:eastAsia="Arial"/>
          <w:sz w:val="24"/>
          <w:szCs w:val="24"/>
          <w:lang w:val="en-US" w:eastAsia="en-US"/>
        </w:rPr>
        <w:t xml:space="preserve">24h incubation with </w:t>
      </w:r>
      <w:r>
        <w:rPr>
          <w:rFonts w:eastAsia="Arial"/>
          <w:sz w:val="24"/>
          <w:szCs w:val="24"/>
          <w:vertAlign w:val="superscript"/>
          <w:lang w:val="en-US" w:eastAsia="en-US"/>
        </w:rPr>
        <w:t>32</w:t>
      </w:r>
      <w:r>
        <w:rPr>
          <w:rFonts w:eastAsia="Arial"/>
          <w:sz w:val="24"/>
          <w:szCs w:val="24"/>
          <w:lang w:val="en-US" w:eastAsia="en-US"/>
        </w:rPr>
        <w:t xml:space="preserve">Si or PDMPO. Incubations were done in the water at the sampling depth at natural light and temperature. After 24h, filtrations were done and filters were kept at room temperature for Si production and limitation, for PDMPO, samples were centrifuged and resuspended in methanol and kept at 4°C. </w:t>
      </w:r>
    </w:p>
    <w:p>
      <w:pPr>
        <w:pStyle w:val="Normal"/>
        <w:widowControl w:val="false"/>
        <w:spacing w:lineRule="atLeast" w:line="200"/>
        <w:jc w:val="both"/>
        <w:rPr>
          <w:rFonts w:eastAsia="Arial"/>
          <w:sz w:val="24"/>
          <w:szCs w:val="24"/>
          <w:lang w:val="en-US" w:eastAsia="en-US"/>
        </w:rPr>
      </w:pPr>
      <w:r>
        <w:rPr>
          <w:rFonts w:eastAsia="Arial"/>
          <w:sz w:val="24"/>
          <w:szCs w:val="24"/>
          <w:lang w:val="en-US" w:eastAsia="en-US"/>
        </w:rPr>
        <w:t xml:space="preserve">- Water 5 depth (0,1.5, 5, 20) </w:t>
      </w:r>
    </w:p>
    <w:p>
      <w:pPr>
        <w:pStyle w:val="Normal"/>
        <w:widowControl w:val="false"/>
        <w:spacing w:lineRule="atLeast" w:line="200"/>
        <w:jc w:val="both"/>
        <w:rPr>
          <w:rFonts w:eastAsia="Arial"/>
          <w:sz w:val="24"/>
          <w:szCs w:val="24"/>
          <w:lang w:val="en-US" w:eastAsia="en-US"/>
        </w:rPr>
      </w:pPr>
      <w:r>
        <w:rPr>
          <w:rFonts w:eastAsia="Arial"/>
          <w:sz w:val="24"/>
          <w:szCs w:val="24"/>
          <w:lang w:val="en-US" w:eastAsia="en-US"/>
        </w:rPr>
        <w:t xml:space="preserve">- Ice (0-1 cm) sampled from the core </w:t>
      </w:r>
    </w:p>
    <w:p>
      <w:pPr>
        <w:pStyle w:val="Normal"/>
        <w:widowControl w:val="false"/>
        <w:spacing w:lineRule="atLeast" w:line="200"/>
        <w:jc w:val="both"/>
        <w:rPr>
          <w:i/>
          <w:iCs/>
          <w:color w:val="FF0000"/>
          <w:sz w:val="24"/>
          <w:szCs w:val="24"/>
          <w:lang w:val="en-US"/>
        </w:rPr>
      </w:pPr>
      <w:r>
        <w:rPr>
          <w:i/>
          <w:iCs/>
          <w:color w:val="FF0000"/>
          <w:sz w:val="24"/>
          <w:szCs w:val="24"/>
          <w:lang w:val="en-US"/>
        </w:rPr>
      </w:r>
    </w:p>
    <w:p>
      <w:pPr>
        <w:pStyle w:val="Normal"/>
        <w:spacing w:lineRule="atLeast" w:line="200"/>
        <w:jc w:val="both"/>
        <w:rPr>
          <w:i/>
          <w:iCs/>
          <w:color w:val="FF0000"/>
          <w:sz w:val="24"/>
          <w:szCs w:val="24"/>
          <w:lang w:val="en-US" w:eastAsia="en-US"/>
        </w:rPr>
      </w:pPr>
      <w:r>
        <w:rPr>
          <w:i/>
          <w:iCs/>
          <w:color w:val="FF0000"/>
          <w:sz w:val="24"/>
          <w:szCs w:val="24"/>
          <w:u w:val="single"/>
          <w:lang w:val="en-US" w:eastAsia="en-US"/>
        </w:rPr>
        <w:t>Analytical</w:t>
      </w:r>
      <w:r>
        <w:rPr>
          <w:rFonts w:eastAsia="Arial"/>
          <w:i/>
          <w:iCs/>
          <w:color w:val="FF0000"/>
          <w:sz w:val="24"/>
          <w:szCs w:val="24"/>
          <w:u w:val="single"/>
          <w:lang w:val="en-US" w:eastAsia="en-US"/>
        </w:rPr>
        <w:t xml:space="preserve"> </w:t>
      </w:r>
      <w:r>
        <w:rPr>
          <w:i/>
          <w:iCs/>
          <w:color w:val="FF0000"/>
          <w:sz w:val="24"/>
          <w:szCs w:val="24"/>
          <w:u w:val="single"/>
          <w:lang w:val="en-US" w:eastAsia="en-US"/>
        </w:rPr>
        <w:t>procedure</w:t>
      </w:r>
      <w:r>
        <w:rPr>
          <w:rFonts w:eastAsia="Arial"/>
          <w:i/>
          <w:iCs/>
          <w:color w:val="FF0000"/>
          <w:sz w:val="24"/>
          <w:szCs w:val="24"/>
          <w:lang w:val="en-US" w:eastAsia="en-US"/>
        </w:rPr>
        <w:t xml:space="preserve"> </w:t>
      </w:r>
      <w:r>
        <w:rPr>
          <w:i/>
          <w:iCs/>
          <w:color w:val="FF0000"/>
          <w:sz w:val="24"/>
          <w:szCs w:val="24"/>
          <w:lang w:val="en-US" w:eastAsia="en-US"/>
        </w:rPr>
        <w:t>:</w:t>
      </w:r>
      <w:r>
        <w:rPr>
          <w:rFonts w:eastAsia="Arial"/>
          <w:i/>
          <w:iCs/>
          <w:color w:val="FF0000"/>
          <w:sz w:val="24"/>
          <w:szCs w:val="24"/>
          <w:lang w:val="en-US" w:eastAsia="en-US"/>
        </w:rPr>
        <w:t xml:space="preserve"> </w:t>
      </w:r>
      <w:r>
        <w:rPr>
          <w:i/>
          <w:iCs/>
          <w:color w:val="FF0000"/>
          <w:sz w:val="24"/>
          <w:szCs w:val="24"/>
          <w:lang w:val="en-US" w:eastAsia="en-US"/>
        </w:rPr>
        <w:t>(briefly,</w:t>
      </w:r>
      <w:r>
        <w:rPr>
          <w:rFonts w:eastAsia="Arial"/>
          <w:i/>
          <w:iCs/>
          <w:color w:val="FF0000"/>
          <w:sz w:val="24"/>
          <w:szCs w:val="24"/>
          <w:lang w:val="en-US" w:eastAsia="en-US"/>
        </w:rPr>
        <w:t xml:space="preserve"> </w:t>
      </w:r>
      <w:r>
        <w:rPr>
          <w:i/>
          <w:iCs/>
          <w:color w:val="FF0000"/>
          <w:sz w:val="24"/>
          <w:szCs w:val="24"/>
          <w:lang w:val="en-US" w:eastAsia="en-US"/>
        </w:rPr>
        <w:t>could</w:t>
      </w:r>
      <w:r>
        <w:rPr>
          <w:rFonts w:eastAsia="Arial"/>
          <w:i/>
          <w:iCs/>
          <w:color w:val="FF0000"/>
          <w:sz w:val="24"/>
          <w:szCs w:val="24"/>
          <w:lang w:val="en-US" w:eastAsia="en-US"/>
        </w:rPr>
        <w:t xml:space="preserve"> </w:t>
      </w:r>
      <w:r>
        <w:rPr>
          <w:i/>
          <w:iCs/>
          <w:color w:val="FF0000"/>
          <w:sz w:val="24"/>
          <w:szCs w:val="24"/>
          <w:lang w:val="en-US" w:eastAsia="en-US"/>
        </w:rPr>
        <w:t>be</w:t>
      </w:r>
      <w:r>
        <w:rPr>
          <w:rFonts w:eastAsia="Arial"/>
          <w:i/>
          <w:iCs/>
          <w:color w:val="FF0000"/>
          <w:sz w:val="24"/>
          <w:szCs w:val="24"/>
          <w:lang w:val="en-US" w:eastAsia="en-US"/>
        </w:rPr>
        <w:t xml:space="preserve"> </w:t>
      </w:r>
      <w:r>
        <w:rPr>
          <w:i/>
          <w:iCs/>
          <w:color w:val="FF0000"/>
          <w:sz w:val="24"/>
          <w:szCs w:val="24"/>
          <w:lang w:val="en-US" w:eastAsia="en-US"/>
        </w:rPr>
        <w:t>a</w:t>
      </w:r>
      <w:r>
        <w:rPr>
          <w:rFonts w:eastAsia="Arial"/>
          <w:i/>
          <w:iCs/>
          <w:color w:val="FF0000"/>
          <w:sz w:val="24"/>
          <w:szCs w:val="24"/>
          <w:lang w:val="en-US" w:eastAsia="en-US"/>
        </w:rPr>
        <w:t xml:space="preserve"> </w:t>
      </w:r>
      <w:r>
        <w:rPr>
          <w:i/>
          <w:iCs/>
          <w:color w:val="FF0000"/>
          <w:sz w:val="24"/>
          <w:szCs w:val="24"/>
          <w:lang w:val="en-US" w:eastAsia="en-US"/>
        </w:rPr>
        <w:t>short</w:t>
      </w:r>
      <w:r>
        <w:rPr>
          <w:rFonts w:eastAsia="Arial"/>
          <w:i/>
          <w:iCs/>
          <w:color w:val="FF0000"/>
          <w:sz w:val="24"/>
          <w:szCs w:val="24"/>
          <w:lang w:val="en-US" w:eastAsia="en-US"/>
        </w:rPr>
        <w:t xml:space="preserve"> </w:t>
      </w:r>
      <w:r>
        <w:rPr>
          <w:i/>
          <w:iCs/>
          <w:color w:val="FF0000"/>
          <w:sz w:val="24"/>
          <w:szCs w:val="24"/>
          <w:lang w:val="en-US" w:eastAsia="en-US"/>
        </w:rPr>
        <w:t>recall</w:t>
      </w:r>
      <w:r>
        <w:rPr>
          <w:rFonts w:eastAsia="Arial"/>
          <w:i/>
          <w:iCs/>
          <w:color w:val="FF0000"/>
          <w:sz w:val="24"/>
          <w:szCs w:val="24"/>
          <w:lang w:val="en-US" w:eastAsia="en-US"/>
        </w:rPr>
        <w:t xml:space="preserve"> </w:t>
      </w:r>
      <w:r>
        <w:rPr>
          <w:i/>
          <w:iCs/>
          <w:color w:val="FF0000"/>
          <w:sz w:val="24"/>
          <w:szCs w:val="24"/>
          <w:lang w:val="en-US" w:eastAsia="en-US"/>
        </w:rPr>
        <w:t>to</w:t>
      </w:r>
      <w:r>
        <w:rPr>
          <w:rFonts w:eastAsia="Arial"/>
          <w:i/>
          <w:iCs/>
          <w:color w:val="FF0000"/>
          <w:sz w:val="24"/>
          <w:szCs w:val="24"/>
          <w:lang w:val="en-US" w:eastAsia="en-US"/>
        </w:rPr>
        <w:t xml:space="preserve"> </w:t>
      </w:r>
      <w:r>
        <w:rPr>
          <w:i/>
          <w:iCs/>
          <w:color w:val="FF0000"/>
          <w:sz w:val="24"/>
          <w:szCs w:val="24"/>
          <w:lang w:val="en-US" w:eastAsia="en-US"/>
        </w:rPr>
        <w:t>a</w:t>
      </w:r>
      <w:r>
        <w:rPr>
          <w:rFonts w:eastAsia="Arial"/>
          <w:i/>
          <w:iCs/>
          <w:color w:val="FF0000"/>
          <w:sz w:val="24"/>
          <w:szCs w:val="24"/>
          <w:lang w:val="en-US" w:eastAsia="en-US"/>
        </w:rPr>
        <w:t xml:space="preserve"> </w:t>
      </w:r>
      <w:r>
        <w:rPr>
          <w:i/>
          <w:iCs/>
          <w:color w:val="FF0000"/>
          <w:sz w:val="24"/>
          <w:szCs w:val="24"/>
          <w:lang w:val="en-US" w:eastAsia="en-US"/>
        </w:rPr>
        <w:t>published</w:t>
      </w:r>
      <w:r>
        <w:rPr>
          <w:rFonts w:eastAsia="Arial"/>
          <w:i/>
          <w:iCs/>
          <w:color w:val="FF0000"/>
          <w:sz w:val="24"/>
          <w:szCs w:val="24"/>
          <w:lang w:val="en-US" w:eastAsia="en-US"/>
        </w:rPr>
        <w:t xml:space="preserve"> </w:t>
      </w:r>
      <w:r>
        <w:rPr>
          <w:i/>
          <w:iCs/>
          <w:color w:val="FF0000"/>
          <w:sz w:val="24"/>
          <w:szCs w:val="24"/>
          <w:lang w:val="en-US" w:eastAsia="en-US"/>
        </w:rPr>
        <w:t>reference):</w:t>
      </w:r>
    </w:p>
    <w:p>
      <w:pPr>
        <w:pStyle w:val="Normal"/>
        <w:spacing w:lineRule="atLeast" w:line="200"/>
        <w:jc w:val="both"/>
        <w:rPr>
          <w:i/>
          <w:iCs/>
          <w:color w:val="FF0000"/>
          <w:sz w:val="24"/>
          <w:szCs w:val="24"/>
          <w:lang w:val="en-US" w:eastAsia="en-US"/>
        </w:rPr>
      </w:pPr>
      <w:r>
        <w:rPr>
          <w:i/>
          <w:iCs/>
          <w:color w:val="FF0000"/>
          <w:sz w:val="24"/>
          <w:szCs w:val="24"/>
          <w:lang w:val="en-US" w:eastAsia="en-US"/>
        </w:rPr>
      </w:r>
    </w:p>
    <w:p>
      <w:pPr>
        <w:pStyle w:val="Normal"/>
        <w:numPr>
          <w:ilvl w:val="0"/>
          <w:numId w:val="4"/>
        </w:numPr>
        <w:tabs>
          <w:tab w:val="left" w:pos="420" w:leader="none"/>
        </w:tabs>
        <w:rPr>
          <w:b/>
          <w:bCs/>
          <w:sz w:val="22"/>
          <w:szCs w:val="22"/>
        </w:rPr>
      </w:pPr>
      <w:r>
        <w:rPr>
          <w:b/>
          <w:bCs/>
          <w:sz w:val="22"/>
          <w:szCs w:val="22"/>
        </w:rPr>
        <w:t xml:space="preserve">For Si #1, Si #2 and Si #5 </w:t>
      </w:r>
    </w:p>
    <w:p>
      <w:pPr>
        <w:pStyle w:val="Style11"/>
        <w:spacing w:lineRule="auto" w:line="276" w:before="120" w:after="0"/>
        <w:ind w:left="0" w:right="0" w:firstLine="709"/>
        <w:jc w:val="both"/>
        <w:rPr>
          <w:rFonts w:ascii="Times New Roman" w:hAnsi="Times New Roman"/>
        </w:rPr>
      </w:pPr>
      <w:r>
        <w:rPr>
          <w:rFonts w:ascii="Times New Roman" w:hAnsi="Times New Roman"/>
          <w:lang w:val="en-US"/>
        </w:rPr>
        <w:t>Samples for biogenic silica and lithogenic silica (BSi-LSi) were filtered onto 0.4-µm polycarbonate filters (Millipore) and dried at 60ºC and stored at room temperature in petri dishes until digestion and analysis. Sequential digestions (NaOH, then HF) were carried out on each filter, with parallel determinations of both Si(OH)</w:t>
      </w:r>
      <w:r>
        <w:rPr>
          <w:rFonts w:ascii="Times New Roman" w:hAnsi="Times New Roman"/>
          <w:vertAlign w:val="subscript"/>
          <w:lang w:val="en-US"/>
        </w:rPr>
        <w:t>4</w:t>
      </w:r>
      <w:r>
        <w:rPr>
          <w:rFonts w:ascii="Times New Roman" w:hAnsi="Times New Roman"/>
          <w:lang w:val="en-US"/>
        </w:rPr>
        <w:t xml:space="preserve"> and dissolved aluminum in order to correct for LSi interference, following Ragueneau et al. </w:t>
      </w:r>
      <w:r>
        <w:rPr>
          <w:rFonts w:ascii="Times New Roman" w:hAnsi="Times New Roman"/>
        </w:rPr>
        <w:t>(2005).</w:t>
      </w:r>
    </w:p>
    <w:p>
      <w:pPr>
        <w:pStyle w:val="NoSpacing"/>
        <w:spacing w:lineRule="auto" w:line="276" w:before="120" w:after="0"/>
        <w:ind w:left="0" w:right="0" w:firstLine="709"/>
        <w:rPr>
          <w:rFonts w:ascii="Times New Roman" w:hAnsi="Times New Roman"/>
          <w:lang w:val="en-US"/>
        </w:rPr>
      </w:pPr>
      <w:r>
        <w:rPr>
          <w:rFonts w:ascii="Times New Roman" w:hAnsi="Times New Roman"/>
          <w:lang w:val="en-US"/>
        </w:rPr>
      </w:r>
    </w:p>
    <w:p>
      <w:pPr>
        <w:pStyle w:val="Normal"/>
        <w:numPr>
          <w:ilvl w:val="0"/>
          <w:numId w:val="3"/>
        </w:numPr>
        <w:tabs>
          <w:tab w:val="left" w:pos="420" w:leader="none"/>
        </w:tabs>
        <w:rPr>
          <w:b/>
          <w:bCs/>
          <w:sz w:val="22"/>
          <w:szCs w:val="22"/>
          <w:lang w:val="fr-FR"/>
        </w:rPr>
      </w:pPr>
      <w:r>
        <w:rPr>
          <w:b/>
          <w:bCs/>
          <w:sz w:val="22"/>
          <w:szCs w:val="22"/>
        </w:rPr>
        <w:t>Si #3 Si uptake</w:t>
      </w:r>
      <w:r>
        <w:rPr>
          <w:b/>
          <w:bCs/>
          <w:sz w:val="22"/>
          <w:szCs w:val="22"/>
          <w:lang w:val="fr-FR"/>
        </w:rPr>
        <w:t xml:space="preserve"> rate (</w:t>
      </w:r>
      <w:r>
        <w:rPr>
          <w:b/>
          <w:bCs/>
          <w:sz w:val="22"/>
          <w:szCs w:val="22"/>
        </w:rPr>
        <w:t>ρ</w:t>
      </w:r>
      <w:r>
        <w:rPr>
          <w:b/>
          <w:bCs/>
          <w:sz w:val="22"/>
          <w:szCs w:val="22"/>
          <w:vertAlign w:val="superscript"/>
        </w:rPr>
        <w:t>32</w:t>
      </w:r>
      <w:r>
        <w:rPr>
          <w:b/>
          <w:bCs/>
          <w:sz w:val="22"/>
          <w:szCs w:val="22"/>
          <w:lang w:val="fr-FR"/>
        </w:rPr>
        <w:t>Si)</w:t>
      </w:r>
      <w:r>
        <w:rPr>
          <w:b/>
          <w:bCs/>
          <w:sz w:val="22"/>
          <w:szCs w:val="22"/>
        </w:rPr>
        <w:t>, Si #4 Si kinetic uptake parameters</w:t>
      </w:r>
      <w:r>
        <w:rPr>
          <w:b/>
          <w:bCs/>
          <w:sz w:val="22"/>
          <w:szCs w:val="22"/>
          <w:lang w:val="fr-FR"/>
        </w:rPr>
        <w:t xml:space="preserve"> (</w:t>
      </w:r>
      <w:r>
        <w:rPr>
          <w:rFonts w:eastAsia="Symbola"/>
          <w:b/>
          <w:bCs/>
          <w:sz w:val="22"/>
          <w:szCs w:val="22"/>
        </w:rPr>
        <w:t>ρ</w:t>
      </w:r>
      <w:r>
        <w:rPr>
          <w:b/>
          <w:bCs/>
          <w:sz w:val="22"/>
          <w:szCs w:val="22"/>
          <w:vertAlign w:val="superscript"/>
        </w:rPr>
        <w:t>32</w:t>
      </w:r>
      <w:r>
        <w:rPr>
          <w:b/>
          <w:bCs/>
          <w:sz w:val="22"/>
          <w:szCs w:val="22"/>
          <w:lang w:val="fr-FR"/>
        </w:rPr>
        <w:t>Si)</w:t>
      </w:r>
    </w:p>
    <w:p>
      <w:pPr>
        <w:pStyle w:val="Normal"/>
        <w:rPr>
          <w:b/>
          <w:bCs/>
          <w:sz w:val="22"/>
          <w:szCs w:val="22"/>
          <w:lang w:val="fr-FR"/>
        </w:rPr>
      </w:pPr>
      <w:r>
        <w:rPr>
          <w:b/>
          <w:bCs/>
          <w:sz w:val="22"/>
          <w:szCs w:val="22"/>
          <w:lang w:val="fr-FR"/>
        </w:rPr>
      </w:r>
    </w:p>
    <w:p>
      <w:pPr>
        <w:pStyle w:val="Normal"/>
        <w:suppressAutoHyphens w:val="false"/>
        <w:spacing w:lineRule="auto" w:line="276"/>
        <w:jc w:val="both"/>
        <w:rPr>
          <w:sz w:val="24"/>
          <w:szCs w:val="24"/>
          <w:lang w:val="en-US"/>
        </w:rPr>
      </w:pPr>
      <w:r>
        <w:rPr>
          <w:sz w:val="24"/>
          <w:szCs w:val="24"/>
        </w:rPr>
        <w:tab/>
      </w:r>
      <w:r>
        <w:rPr>
          <w:sz w:val="24"/>
          <w:szCs w:val="24"/>
          <w:lang w:val="en-US"/>
        </w:rPr>
        <w:t xml:space="preserve">150 ml polycarbonate bottles were carefully filled with sea water collected with Niskin bottles. The radio tracer </w:t>
      </w:r>
      <w:r>
        <w:rPr>
          <w:sz w:val="24"/>
          <w:szCs w:val="24"/>
          <w:vertAlign w:val="superscript"/>
          <w:lang w:val="en-US"/>
        </w:rPr>
        <w:t>32</w:t>
      </w:r>
      <w:r>
        <w:rPr>
          <w:sz w:val="24"/>
          <w:szCs w:val="24"/>
          <w:lang w:val="en-US"/>
        </w:rPr>
        <w:t xml:space="preserve">Si was injected just after sampling, and the bottles were placed in a hole outside, each at its sampling depth to maintain natural light and water temperature. The addition of </w:t>
      </w:r>
      <w:r>
        <w:rPr>
          <w:sz w:val="24"/>
          <w:szCs w:val="24"/>
          <w:vertAlign w:val="superscript"/>
          <w:lang w:val="en-US"/>
        </w:rPr>
        <w:t>32</w:t>
      </w:r>
      <w:r>
        <w:rPr>
          <w:sz w:val="24"/>
          <w:szCs w:val="24"/>
          <w:lang w:val="en-US"/>
        </w:rPr>
        <w:t xml:space="preserve">Si increased the </w:t>
      </w:r>
      <w:r>
        <w:rPr>
          <w:i/>
          <w:iCs/>
          <w:sz w:val="24"/>
          <w:szCs w:val="24"/>
          <w:lang w:val="en-US"/>
        </w:rPr>
        <w:t xml:space="preserve">in situ </w:t>
      </w:r>
      <w:r>
        <w:rPr>
          <w:sz w:val="24"/>
          <w:szCs w:val="24"/>
          <w:lang w:val="en-US"/>
        </w:rPr>
        <w:t>silicic acid concentration by less than 0.1 µM. All the incubations started at 2 pm and lasted 24 h. Incubations were terminated by filtration of the sample through 0.4 µm Nuclepore membrane filters, which were then rinsed with filtered sea water and placed in plastic counting vials. The final counting was carried out 3 months later by Cerenkov measurement, when secular equilibrium had been attained following Tréguer et al. (1991). The Si steady-state uptake rate (</w:t>
      </w:r>
      <w:r>
        <w:rPr>
          <w:sz w:val="22"/>
          <w:szCs w:val="22"/>
        </w:rPr>
        <w:t>ρ</w:t>
      </w:r>
      <w:r>
        <w:rPr>
          <w:sz w:val="22"/>
          <w:szCs w:val="22"/>
          <w:lang w:val="en-US"/>
        </w:rPr>
        <w:t>Si</w:t>
      </w:r>
      <w:r>
        <w:rPr>
          <w:sz w:val="24"/>
          <w:szCs w:val="24"/>
          <w:lang w:val="en-US"/>
        </w:rPr>
        <w:t xml:space="preserve"> nmol L</w:t>
      </w:r>
      <w:r>
        <w:rPr>
          <w:sz w:val="24"/>
          <w:szCs w:val="24"/>
          <w:vertAlign w:val="superscript"/>
          <w:lang w:val="en-US"/>
        </w:rPr>
        <w:t xml:space="preserve">-l </w:t>
      </w:r>
      <w:r>
        <w:rPr>
          <w:sz w:val="24"/>
          <w:szCs w:val="24"/>
          <w:lang w:val="en-US"/>
        </w:rPr>
        <w:t>h</w:t>
      </w:r>
      <w:r>
        <w:rPr>
          <w:sz w:val="24"/>
          <w:szCs w:val="24"/>
          <w:vertAlign w:val="superscript"/>
          <w:lang w:val="en-US"/>
        </w:rPr>
        <w:t>-1</w:t>
      </w:r>
      <w:r>
        <w:rPr>
          <w:sz w:val="24"/>
          <w:szCs w:val="24"/>
          <w:lang w:val="en-US"/>
        </w:rPr>
        <w:t>) was calculated from the final activity on the filter, the silicic acid concentration and the initial injected activity. The specific uptake rate, VSi</w:t>
      </w:r>
      <w:r>
        <w:rPr>
          <w:i/>
          <w:iCs/>
          <w:sz w:val="24"/>
          <w:szCs w:val="24"/>
          <w:lang w:val="en-US"/>
        </w:rPr>
        <w:t xml:space="preserve"> </w:t>
      </w:r>
      <w:r>
        <w:rPr>
          <w:sz w:val="24"/>
          <w:szCs w:val="24"/>
          <w:lang w:val="en-US"/>
        </w:rPr>
        <w:t>(d</w:t>
      </w:r>
      <w:r>
        <w:rPr>
          <w:sz w:val="24"/>
          <w:szCs w:val="24"/>
          <w:vertAlign w:val="superscript"/>
          <w:lang w:val="en-US"/>
        </w:rPr>
        <w:t>-1</w:t>
      </w:r>
      <w:r>
        <w:rPr>
          <w:sz w:val="24"/>
          <w:szCs w:val="24"/>
          <w:lang w:val="en-US"/>
        </w:rPr>
        <w:t>)</w:t>
      </w:r>
      <w:r>
        <w:rPr>
          <w:i/>
          <w:iCs/>
          <w:sz w:val="24"/>
          <w:szCs w:val="24"/>
          <w:lang w:val="en-US"/>
        </w:rPr>
        <w:t xml:space="preserve">, </w:t>
      </w:r>
      <w:r>
        <w:rPr>
          <w:iCs/>
          <w:sz w:val="24"/>
          <w:szCs w:val="24"/>
          <w:lang w:val="en-US"/>
        </w:rPr>
        <w:t xml:space="preserve">was </w:t>
      </w:r>
      <w:r>
        <w:rPr>
          <w:sz w:val="24"/>
          <w:szCs w:val="24"/>
          <w:lang w:val="en-US"/>
        </w:rPr>
        <w:t>calculated from the equation VSi</w:t>
      </w:r>
      <w:r>
        <w:rPr>
          <w:i/>
          <w:iCs/>
          <w:sz w:val="24"/>
          <w:szCs w:val="24"/>
          <w:lang w:val="en-US"/>
        </w:rPr>
        <w:t xml:space="preserve"> = </w:t>
      </w:r>
      <w:r>
        <w:rPr>
          <w:sz w:val="22"/>
          <w:szCs w:val="22"/>
        </w:rPr>
        <w:t>ρ</w:t>
      </w:r>
      <w:r>
        <w:rPr>
          <w:sz w:val="22"/>
          <w:szCs w:val="22"/>
          <w:lang w:val="en-US"/>
        </w:rPr>
        <w:t>Si</w:t>
      </w:r>
      <w:r>
        <w:rPr>
          <w:sz w:val="24"/>
          <w:szCs w:val="24"/>
          <w:lang w:val="en-US"/>
        </w:rPr>
        <w:t xml:space="preserve">/BSi. </w:t>
      </w:r>
    </w:p>
    <w:p>
      <w:pPr>
        <w:pStyle w:val="Normal"/>
        <w:spacing w:lineRule="auto" w:line="276"/>
        <w:jc w:val="both"/>
        <w:rPr>
          <w:i/>
          <w:iCs/>
          <w:sz w:val="24"/>
          <w:szCs w:val="24"/>
          <w:lang w:val="en-US" w:eastAsia="en-US"/>
        </w:rPr>
      </w:pPr>
      <w:r>
        <w:rPr>
          <w:i/>
          <w:iCs/>
          <w:sz w:val="24"/>
          <w:szCs w:val="24"/>
          <w:lang w:val="en-US" w:eastAsia="en-US"/>
        </w:rPr>
      </w:r>
    </w:p>
    <w:p>
      <w:pPr>
        <w:pStyle w:val="Normal"/>
        <w:numPr>
          <w:ilvl w:val="0"/>
          <w:numId w:val="3"/>
        </w:numPr>
        <w:tabs>
          <w:tab w:val="left" w:pos="420" w:leader="none"/>
        </w:tabs>
        <w:rPr>
          <w:b/>
          <w:bCs/>
          <w:sz w:val="22"/>
          <w:szCs w:val="22"/>
          <w:lang w:val="fr-FR"/>
        </w:rPr>
      </w:pPr>
      <w:r>
        <w:rPr>
          <w:b/>
          <w:bCs/>
          <w:sz w:val="22"/>
          <w:szCs w:val="22"/>
        </w:rPr>
        <w:t>Si #4 Si limitation experiment</w:t>
      </w:r>
      <w:r>
        <w:rPr>
          <w:b/>
          <w:bCs/>
          <w:sz w:val="22"/>
          <w:szCs w:val="22"/>
          <w:lang w:val="fr-FR"/>
        </w:rPr>
        <w:t xml:space="preserve"> (</w:t>
      </w:r>
      <w:r>
        <w:rPr>
          <w:rFonts w:eastAsia="Symbola"/>
          <w:b/>
          <w:bCs/>
          <w:sz w:val="22"/>
          <w:szCs w:val="22"/>
        </w:rPr>
        <w:t>ρ</w:t>
      </w:r>
      <w:r>
        <w:rPr>
          <w:b/>
          <w:bCs/>
          <w:sz w:val="22"/>
          <w:szCs w:val="22"/>
          <w:vertAlign w:val="superscript"/>
        </w:rPr>
        <w:t>32</w:t>
      </w:r>
      <w:r>
        <w:rPr>
          <w:b/>
          <w:bCs/>
          <w:sz w:val="22"/>
          <w:szCs w:val="22"/>
          <w:lang w:val="fr-FR"/>
        </w:rPr>
        <w:t>Si)</w:t>
      </w:r>
    </w:p>
    <w:p>
      <w:pPr>
        <w:pStyle w:val="Normal"/>
        <w:suppressAutoHyphens w:val="false"/>
        <w:spacing w:lineRule="auto" w:line="276" w:before="120" w:after="0"/>
        <w:jc w:val="both"/>
        <w:rPr>
          <w:sz w:val="24"/>
          <w:szCs w:val="24"/>
          <w:lang w:val="en-US"/>
        </w:rPr>
      </w:pPr>
      <w:r>
        <w:rPr>
          <w:sz w:val="24"/>
          <w:szCs w:val="24"/>
        </w:rPr>
        <w:tab/>
      </w:r>
      <w:r>
        <w:rPr>
          <w:sz w:val="24"/>
          <w:szCs w:val="24"/>
          <w:lang w:val="en-US"/>
        </w:rPr>
        <w:t>Following Leynaert et al.  (2001), the limitation of the diatom community by silicic acid or one of the other macronutrients (nitrate or phosphate) was assessed at each depth by measuring Si uptake rates at</w:t>
      </w:r>
      <w:r>
        <w:rPr>
          <w:i/>
          <w:iCs/>
          <w:sz w:val="24"/>
          <w:szCs w:val="24"/>
          <w:lang w:val="en-US"/>
        </w:rPr>
        <w:t xml:space="preserve"> in situ</w:t>
      </w:r>
      <w:r>
        <w:rPr>
          <w:sz w:val="24"/>
          <w:szCs w:val="24"/>
          <w:lang w:val="en-US"/>
        </w:rPr>
        <w:t xml:space="preserve"> vs increased silicic acid concentrations (40 µM) vs increased nitrate (20 µM), and phosphate (1.5 µM) concentrations. Incubations and samples were processed as described above for Si uptake experiments. The ratio between </w:t>
      </w:r>
      <w:r>
        <w:rPr>
          <w:i/>
          <w:iCs/>
          <w:sz w:val="24"/>
          <w:szCs w:val="24"/>
          <w:lang w:val="en-US"/>
        </w:rPr>
        <w:t>in situ</w:t>
      </w:r>
      <w:r>
        <w:rPr>
          <w:sz w:val="24"/>
          <w:szCs w:val="24"/>
          <w:lang w:val="en-US"/>
        </w:rPr>
        <w:t xml:space="preserve"> and enriched samples gives an indication of the degree to which silicic acid uptake by phytoplankton is limited by ambient silicic acid concentrations or phosphate+nitrate.</w:t>
      </w:r>
    </w:p>
    <w:p>
      <w:pPr>
        <w:pStyle w:val="Normal"/>
        <w:suppressAutoHyphens w:val="false"/>
        <w:spacing w:lineRule="auto" w:line="276" w:before="120" w:after="0"/>
        <w:jc w:val="both"/>
        <w:rPr>
          <w:sz w:val="24"/>
          <w:szCs w:val="24"/>
          <w:lang w:val="en-US" w:eastAsia="en-US"/>
        </w:rPr>
      </w:pPr>
      <w:r>
        <w:rPr>
          <w:sz w:val="24"/>
          <w:szCs w:val="24"/>
          <w:lang w:val="en-US" w:eastAsia="en-US"/>
        </w:rPr>
      </w:r>
    </w:p>
    <w:p>
      <w:pPr>
        <w:pStyle w:val="Normal"/>
        <w:numPr>
          <w:ilvl w:val="0"/>
          <w:numId w:val="3"/>
        </w:numPr>
        <w:tabs>
          <w:tab w:val="left" w:pos="420" w:leader="none"/>
        </w:tabs>
        <w:rPr>
          <w:b/>
          <w:bCs/>
        </w:rPr>
      </w:pPr>
      <w:r>
        <w:rPr>
          <w:b/>
          <w:bCs/>
          <w:sz w:val="22"/>
          <w:szCs w:val="22"/>
        </w:rPr>
        <w:t>Si #5 BSi dissolution rates (</w:t>
      </w:r>
      <w:r>
        <w:rPr>
          <w:rFonts w:eastAsia="Symbola"/>
          <w:b/>
          <w:bCs/>
        </w:rPr>
        <w:t>Δ</w:t>
      </w:r>
      <w:r>
        <w:rPr>
          <w:b/>
          <w:bCs/>
        </w:rPr>
        <w:t>BSi)</w:t>
      </w:r>
    </w:p>
    <w:p>
      <w:pPr>
        <w:pStyle w:val="Normal"/>
        <w:suppressAutoHyphens w:val="false"/>
        <w:spacing w:lineRule="auto" w:line="276" w:before="120" w:after="0"/>
        <w:ind w:left="0" w:right="0" w:firstLine="700"/>
        <w:jc w:val="both"/>
        <w:rPr>
          <w:sz w:val="24"/>
          <w:szCs w:val="24"/>
          <w:lang w:val="en-US" w:eastAsia="en-US"/>
        </w:rPr>
      </w:pPr>
      <w:r>
        <w:rPr>
          <w:sz w:val="24"/>
          <w:szCs w:val="24"/>
          <w:lang w:val="en-US" w:eastAsia="en-US"/>
        </w:rPr>
        <w:t>Following Moriceau et al. (2009), filters with the BSi sampled were placed in a PC plastic bottle named batch in the following paragraph. Each batch contained 0.7 µm filtered seawater in order to keep natural bacterial community. The volume of water was chosen to reach a final silicate concentration far from the solubility limit. Dissolution batches were then stored in the dark at 0°C, close to the in situ temperature of -1.5°C. To measure the BSi dissolution rate, the increase of the silicate concentration in the water is followed during 15 to 21 days, and different models are used to fit the data. The statistics used to choose between models required a maximum amount of data. Sampling for silicate analysis was taken as regularly as possible, but more frequently in the first days where most of the dissolution occurred. The batch water was sampled every day during 7 days and then every second and third day. pH and O2 were monitored every day to insure that the general parameters did not evolved over the time course of the experiment.</w:t>
      </w:r>
    </w:p>
    <w:p>
      <w:pPr>
        <w:pStyle w:val="Normal"/>
        <w:rPr>
          <w:b/>
          <w:bCs/>
          <w:sz w:val="22"/>
          <w:szCs w:val="22"/>
          <w:lang w:val="en-US"/>
        </w:rPr>
      </w:pPr>
      <w:r>
        <w:rPr>
          <w:b/>
          <w:bCs/>
          <w:sz w:val="22"/>
          <w:szCs w:val="22"/>
          <w:lang w:val="en-US"/>
        </w:rPr>
      </w:r>
    </w:p>
    <w:p>
      <w:pPr>
        <w:pStyle w:val="Normal"/>
        <w:numPr>
          <w:ilvl w:val="0"/>
          <w:numId w:val="3"/>
        </w:numPr>
        <w:tabs>
          <w:tab w:val="left" w:pos="420" w:leader="none"/>
        </w:tabs>
        <w:rPr>
          <w:b/>
          <w:bCs/>
          <w:sz w:val="22"/>
          <w:szCs w:val="22"/>
          <w:lang w:val="fr-FR"/>
        </w:rPr>
      </w:pPr>
      <w:r>
        <w:rPr>
          <w:b/>
          <w:bCs/>
          <w:sz w:val="22"/>
          <w:szCs w:val="22"/>
        </w:rPr>
        <w:t>Si #6 S</w:t>
      </w:r>
      <w:r>
        <w:rPr>
          <w:b/>
          <w:bCs/>
          <w:sz w:val="22"/>
          <w:szCs w:val="22"/>
          <w:lang w:val="fr-FR"/>
        </w:rPr>
        <w:t xml:space="preserve">pecific </w:t>
      </w:r>
      <w:r>
        <w:rPr>
          <w:b/>
          <w:bCs/>
          <w:sz w:val="22"/>
          <w:szCs w:val="22"/>
        </w:rPr>
        <w:t xml:space="preserve">Si </w:t>
      </w:r>
      <w:r>
        <w:rPr>
          <w:b/>
          <w:bCs/>
          <w:sz w:val="22"/>
          <w:szCs w:val="22"/>
          <w:lang w:val="fr-FR"/>
        </w:rPr>
        <w:t>production rate (</w:t>
      </w:r>
      <w:r>
        <w:rPr>
          <w:rFonts w:eastAsia="Symbola"/>
          <w:b/>
          <w:bCs/>
          <w:sz w:val="22"/>
          <w:szCs w:val="22"/>
        </w:rPr>
        <w:t>ρ</w:t>
      </w:r>
      <w:r>
        <w:rPr>
          <w:b/>
          <w:bCs/>
          <w:sz w:val="22"/>
          <w:szCs w:val="22"/>
          <w:lang w:val="fr-FR"/>
        </w:rPr>
        <w:t>PDMPO)</w:t>
      </w:r>
    </w:p>
    <w:p>
      <w:pPr>
        <w:pStyle w:val="Normal"/>
        <w:suppressAutoHyphens w:val="false"/>
        <w:spacing w:lineRule="auto" w:line="276" w:before="120" w:after="0"/>
        <w:ind w:left="0" w:right="0" w:firstLine="700"/>
        <w:jc w:val="both"/>
        <w:rPr>
          <w:sz w:val="24"/>
          <w:szCs w:val="24"/>
          <w:lang w:val="en-US" w:eastAsia="en-US"/>
        </w:rPr>
      </w:pPr>
      <w:r>
        <w:rPr>
          <w:sz w:val="24"/>
          <w:szCs w:val="24"/>
          <w:lang w:val="en-US" w:eastAsia="en-US"/>
        </w:rPr>
        <w:t>Specific Si production rates are quantified using PDMPO labelling following Leblanc and Hutchins (2005) modified by McNair et al (2015). Briefly 170 ml seawater samples are spiked with 0,125 µM PDMPO (final concentration) and incubated in situ for 24 h. A second bottle without any spike is incubated in parallel for fluorescence blank estimation. After incubation, a first 100 ml aliquot of both samples is filtered onto a 0,4 µm PC membrane, digested in 2,5 N HF for 1h, neutralized with H</w:t>
      </w:r>
      <w:r>
        <w:rPr>
          <w:sz w:val="24"/>
          <w:szCs w:val="24"/>
          <w:vertAlign w:val="subscript"/>
          <w:lang w:val="en-US" w:eastAsia="en-US"/>
        </w:rPr>
        <w:t>3</w:t>
      </w:r>
      <w:r>
        <w:rPr>
          <w:sz w:val="24"/>
          <w:szCs w:val="24"/>
          <w:lang w:val="en-US" w:eastAsia="en-US"/>
        </w:rPr>
        <w:t>BO</w:t>
      </w:r>
      <w:r>
        <w:rPr>
          <w:sz w:val="24"/>
          <w:szCs w:val="24"/>
          <w:vertAlign w:val="subscript"/>
          <w:lang w:val="en-US" w:eastAsia="en-US"/>
        </w:rPr>
        <w:t>3</w:t>
      </w:r>
      <w:r>
        <w:rPr>
          <w:sz w:val="24"/>
          <w:szCs w:val="24"/>
          <w:lang w:val="en-US" w:eastAsia="en-US"/>
        </w:rPr>
        <w:t xml:space="preserve"> and the extracts are read on a Trilogy Fluorometer using a Crude Oil fluorescence module for bulk PDMPO uptake rates (in nmol PDMPO d</w:t>
      </w:r>
      <w:r>
        <w:rPr>
          <w:sz w:val="24"/>
          <w:szCs w:val="24"/>
          <w:vertAlign w:val="superscript"/>
          <w:lang w:val="en-US" w:eastAsia="en-US"/>
        </w:rPr>
        <w:t>-1</w:t>
      </w:r>
      <w:r>
        <w:rPr>
          <w:sz w:val="24"/>
          <w:szCs w:val="24"/>
          <w:lang w:val="en-US" w:eastAsia="en-US"/>
        </w:rPr>
        <w:t>). The rest of the labelled sample (70 ml) is centrifuged down to a 2 ml volume and resuspended with 10 ml methanol and kept at 4°C. This sample will be used to mount permanent slides to be analyzed in epifluorescence microscopy for species specific PDMPO uptake rate measurements. PDMPO labelled cells fluorescence is quantified for each species using a custom-made IMAGE J routine. The rest of the unlabelled sample (70 ml) is fixed with 0,3 ml acidified lugol for diatom identification and counting.</w:t>
      </w:r>
    </w:p>
    <w:p>
      <w:pPr>
        <w:pStyle w:val="Normal"/>
        <w:suppressAutoHyphens w:val="false"/>
        <w:spacing w:lineRule="auto" w:line="276" w:before="120" w:after="0"/>
        <w:ind w:left="0" w:right="0" w:firstLine="700"/>
        <w:jc w:val="both"/>
        <w:rPr>
          <w:sz w:val="24"/>
          <w:szCs w:val="24"/>
          <w:lang w:val="en-US" w:eastAsia="en-US"/>
        </w:rPr>
      </w:pPr>
      <w:r>
        <w:rPr>
          <w:sz w:val="24"/>
          <w:szCs w:val="24"/>
          <w:lang w:val="en-US" w:eastAsia="en-US"/>
        </w:rPr>
      </w:r>
    </w:p>
    <w:p>
      <w:pPr>
        <w:pStyle w:val="Normal"/>
        <w:numPr>
          <w:ilvl w:val="0"/>
          <w:numId w:val="3"/>
        </w:numPr>
        <w:tabs>
          <w:tab w:val="left" w:pos="420" w:leader="none"/>
        </w:tabs>
        <w:rPr>
          <w:b/>
          <w:bCs/>
          <w:sz w:val="22"/>
          <w:szCs w:val="22"/>
          <w:lang w:val="en-US" w:eastAsia="en-US"/>
        </w:rPr>
      </w:pPr>
      <w:r>
        <w:rPr>
          <w:b/>
          <w:bCs/>
          <w:sz w:val="22"/>
          <w:szCs w:val="22"/>
          <w:lang w:val="en-US" w:eastAsia="en-US"/>
        </w:rPr>
        <w:t>Si #7  Diatom taxonomy and abundance</w:t>
        <w:tab/>
      </w:r>
    </w:p>
    <w:p>
      <w:pPr>
        <w:pStyle w:val="Normal"/>
        <w:suppressAutoHyphens w:val="false"/>
        <w:spacing w:lineRule="auto" w:line="276" w:before="120" w:after="0"/>
        <w:ind w:left="0" w:right="0" w:firstLine="700"/>
        <w:jc w:val="both"/>
        <w:rPr>
          <w:sz w:val="24"/>
          <w:szCs w:val="24"/>
          <w:lang w:val="en-US" w:eastAsia="en-US"/>
        </w:rPr>
      </w:pPr>
      <w:r>
        <w:rPr>
          <w:sz w:val="24"/>
          <w:szCs w:val="24"/>
          <w:lang w:val="en-US" w:eastAsia="en-US"/>
        </w:rPr>
        <w:t>Diatom taxonomy and abundance will be determined on the subset of the PDMPO samples, by concentrating 70 ml of sample in a sedimentation chamber following Utermöhl (1951) and counting it using an inverted microscope.</w:t>
      </w:r>
    </w:p>
    <w:p>
      <w:pPr>
        <w:pStyle w:val="Normal"/>
        <w:spacing w:lineRule="atLeast" w:line="200"/>
        <w:jc w:val="both"/>
        <w:rPr>
          <w:i/>
          <w:iCs/>
          <w:color w:val="FF0000"/>
          <w:sz w:val="24"/>
          <w:szCs w:val="24"/>
          <w:lang w:val="en-US"/>
        </w:rPr>
      </w:pPr>
      <w:r>
        <w:rPr>
          <w:i/>
          <w:iCs/>
          <w:color w:val="FF0000"/>
          <w:sz w:val="24"/>
          <w:szCs w:val="24"/>
          <w:lang w:val="en-US"/>
        </w:rPr>
      </w:r>
    </w:p>
    <w:p>
      <w:pPr>
        <w:pStyle w:val="Normal"/>
        <w:spacing w:lineRule="atLeast" w:line="200"/>
        <w:ind w:left="-30" w:right="0" w:hanging="0"/>
        <w:jc w:val="both"/>
        <w:rPr>
          <w:rFonts w:eastAsia="Arial"/>
          <w:i/>
          <w:iCs/>
          <w:color w:val="FF0000"/>
          <w:sz w:val="24"/>
          <w:szCs w:val="24"/>
          <w:u w:val="single"/>
        </w:rPr>
      </w:pPr>
      <w:r>
        <w:rPr>
          <w:i/>
          <w:iCs/>
          <w:color w:val="FF0000"/>
          <w:sz w:val="24"/>
          <w:szCs w:val="24"/>
          <w:u w:val="single"/>
        </w:rPr>
        <w:t>Units:</w:t>
      </w:r>
      <w:r>
        <w:rPr>
          <w:rFonts w:eastAsia="Arial"/>
          <w:i/>
          <w:iCs/>
          <w:color w:val="FF0000"/>
          <w:sz w:val="24"/>
          <w:szCs w:val="24"/>
          <w:u w:val="single"/>
        </w:rPr>
        <w:t xml:space="preserve"> </w:t>
      </w:r>
    </w:p>
    <w:p>
      <w:pPr>
        <w:pStyle w:val="Normal"/>
        <w:pBdr>
          <w:top w:val="single" w:sz="4" w:space="0" w:color="00000A"/>
          <w:left w:val="single" w:sz="4" w:space="0" w:color="00000A"/>
          <w:bottom w:val="single" w:sz="4" w:space="0" w:color="00000A"/>
          <w:right w:val="single" w:sz="4" w:space="0" w:color="00000A"/>
        </w:pBdr>
        <w:rPr/>
      </w:pPr>
      <w:r>
        <w:rPr/>
        <w:t xml:space="preserve">Si #1 </w:t>
        <w:tab/>
        <w:tab/>
        <w:t>SiOH</w:t>
      </w:r>
      <w:r>
        <w:rPr>
          <w:vertAlign w:val="subscript"/>
        </w:rPr>
        <w:t>4</w:t>
      </w:r>
      <w:r>
        <w:rPr/>
        <w:tab/>
        <w:tab/>
        <w:tab/>
        <w:tab/>
        <w:tab/>
        <w:tab/>
        <w:t>µM</w:t>
      </w:r>
    </w:p>
    <w:p>
      <w:pPr>
        <w:pStyle w:val="Normal"/>
        <w:pBdr>
          <w:top w:val="single" w:sz="4" w:space="0" w:color="00000A"/>
          <w:left w:val="single" w:sz="4" w:space="0" w:color="00000A"/>
          <w:bottom w:val="single" w:sz="4" w:space="0" w:color="00000A"/>
          <w:right w:val="single" w:sz="4" w:space="0" w:color="00000A"/>
        </w:pBdr>
        <w:rPr>
          <w:vertAlign w:val="superscript"/>
        </w:rPr>
      </w:pPr>
      <w:r>
        <w:rPr/>
        <w:t xml:space="preserve">Si #2 </w:t>
        <w:tab/>
        <w:tab/>
        <w:t>BSi &amp; LSi</w:t>
        <w:tab/>
        <w:tab/>
        <w:tab/>
        <w:tab/>
        <w:tab/>
        <w:t>µmol Si L</w:t>
      </w:r>
      <w:r>
        <w:rPr>
          <w:vertAlign w:val="superscript"/>
        </w:rPr>
        <w:t>-1</w:t>
      </w:r>
    </w:p>
    <w:p>
      <w:pPr>
        <w:pStyle w:val="Normal"/>
        <w:pBdr>
          <w:top w:val="single" w:sz="4" w:space="0" w:color="00000A"/>
          <w:left w:val="single" w:sz="4" w:space="0" w:color="00000A"/>
          <w:bottom w:val="single" w:sz="4" w:space="0" w:color="00000A"/>
          <w:right w:val="single" w:sz="4" w:space="0" w:color="00000A"/>
        </w:pBdr>
        <w:rPr>
          <w:vertAlign w:val="superscript"/>
        </w:rPr>
      </w:pPr>
      <w:r>
        <w:rPr/>
        <w:t xml:space="preserve">Si #3 </w:t>
        <w:tab/>
        <w:tab/>
      </w:r>
      <w:r>
        <w:rPr>
          <w:rFonts w:eastAsia="Symbola"/>
        </w:rPr>
        <w:t>ρ</w:t>
      </w:r>
      <w:r>
        <w:rPr>
          <w:vertAlign w:val="superscript"/>
        </w:rPr>
        <w:t>32</w:t>
      </w:r>
      <w:r>
        <w:rPr>
          <w:lang w:val="fr-FR"/>
        </w:rPr>
        <w:t>Si</w:t>
      </w:r>
      <w:r>
        <w:rPr/>
        <w:tab/>
        <w:tab/>
        <w:tab/>
        <w:tab/>
        <w:tab/>
        <w:tab/>
        <w:t>nmol Si L</w:t>
      </w:r>
      <w:r>
        <w:rPr>
          <w:vertAlign w:val="superscript"/>
        </w:rPr>
        <w:t>-1</w:t>
      </w:r>
      <w:r>
        <w:rPr/>
        <w:t>d</w:t>
      </w:r>
      <w:r>
        <w:rPr>
          <w:vertAlign w:val="superscript"/>
        </w:rPr>
        <w:t>-1</w:t>
      </w:r>
    </w:p>
    <w:p>
      <w:pPr>
        <w:pStyle w:val="Normal"/>
        <w:pBdr>
          <w:top w:val="single" w:sz="4" w:space="0" w:color="00000A"/>
          <w:left w:val="single" w:sz="4" w:space="0" w:color="00000A"/>
          <w:bottom w:val="single" w:sz="4" w:space="0" w:color="00000A"/>
          <w:right w:val="single" w:sz="4" w:space="0" w:color="00000A"/>
        </w:pBdr>
        <w:rPr>
          <w:vertAlign w:val="superscript"/>
        </w:rPr>
      </w:pPr>
      <w:r>
        <w:rPr/>
        <w:t xml:space="preserve">Si #4 </w:t>
        <w:tab/>
        <w:tab/>
        <w:t xml:space="preserve">Si limitation experiment, </w:t>
      </w:r>
      <w:r>
        <w:rPr>
          <w:lang w:val="fr-FR"/>
        </w:rPr>
        <w:t>V</w:t>
      </w:r>
      <w:r>
        <w:rPr>
          <w:vertAlign w:val="subscript"/>
          <w:lang w:val="fr-FR"/>
        </w:rPr>
        <w:t>max</w:t>
      </w:r>
      <w:r>
        <w:rPr>
          <w:lang w:val="fr-FR"/>
        </w:rPr>
        <w:t xml:space="preserve"> and K</w:t>
      </w:r>
      <w:r>
        <w:rPr>
          <w:vertAlign w:val="subscript"/>
          <w:lang w:val="fr-FR"/>
        </w:rPr>
        <w:t>Si</w:t>
      </w:r>
      <w:r>
        <w:rPr/>
        <w:tab/>
        <w:tab/>
        <w:t>nmol Si L</w:t>
      </w:r>
      <w:r>
        <w:rPr>
          <w:vertAlign w:val="superscript"/>
        </w:rPr>
        <w:t>-1</w:t>
      </w:r>
      <w:r>
        <w:rPr/>
        <w:t>d</w:t>
      </w:r>
      <w:r>
        <w:rPr>
          <w:vertAlign w:val="superscript"/>
        </w:rPr>
        <w:t>-1</w:t>
      </w:r>
      <w:r>
        <w:rPr/>
        <w:t>, d</w:t>
      </w:r>
      <w:r>
        <w:rPr>
          <w:vertAlign w:val="superscript"/>
        </w:rPr>
        <w:t>-1</w:t>
      </w:r>
      <w:r>
        <w:rPr/>
        <w:t>, µmol Si.L</w:t>
      </w:r>
      <w:r>
        <w:rPr>
          <w:vertAlign w:val="superscript"/>
        </w:rPr>
        <w:t>-1</w:t>
      </w:r>
    </w:p>
    <w:p>
      <w:pPr>
        <w:pStyle w:val="Normal"/>
        <w:pBdr>
          <w:top w:val="single" w:sz="4" w:space="0" w:color="00000A"/>
          <w:left w:val="single" w:sz="4" w:space="0" w:color="00000A"/>
          <w:bottom w:val="single" w:sz="4" w:space="0" w:color="00000A"/>
          <w:right w:val="single" w:sz="4" w:space="0" w:color="00000A"/>
        </w:pBdr>
        <w:rPr>
          <w:vertAlign w:val="superscript"/>
        </w:rPr>
      </w:pPr>
      <w:r>
        <w:rPr/>
        <w:t xml:space="preserve">Si #5 </w:t>
        <w:tab/>
        <w:tab/>
        <w:t>B</w:t>
      </w:r>
      <w:r>
        <w:rPr>
          <w:lang w:val="fr-FR"/>
        </w:rPr>
        <w:t>Si dissolution rate</w:t>
      </w:r>
      <w:r>
        <w:rPr/>
        <w:t xml:space="preserve"> (</w:t>
      </w:r>
      <w:r>
        <w:rPr>
          <w:rFonts w:eastAsia="Symbola"/>
        </w:rPr>
        <w:t>Δ</w:t>
      </w:r>
      <w:r>
        <w:rPr/>
        <w:t>BSi)</w:t>
      </w:r>
      <w:r>
        <w:rPr>
          <w:lang w:val="fr-FR"/>
        </w:rPr>
        <w:t xml:space="preserve">, </w:t>
      </w:r>
      <w:r>
        <w:rPr/>
        <w:tab/>
        <w:tab/>
        <w:tab/>
        <w:t>d</w:t>
      </w:r>
      <w:r>
        <w:rPr>
          <w:vertAlign w:val="superscript"/>
        </w:rPr>
        <w:t>-1</w:t>
      </w:r>
    </w:p>
    <w:p>
      <w:pPr>
        <w:pStyle w:val="Normal"/>
        <w:pBdr>
          <w:top w:val="single" w:sz="4" w:space="0" w:color="00000A"/>
          <w:left w:val="single" w:sz="4" w:space="0" w:color="00000A"/>
          <w:bottom w:val="single" w:sz="4" w:space="0" w:color="00000A"/>
          <w:right w:val="single" w:sz="4" w:space="0" w:color="00000A"/>
        </w:pBdr>
        <w:rPr>
          <w:lang w:val="en-US"/>
        </w:rPr>
      </w:pPr>
      <w:r>
        <w:rPr>
          <w:lang w:val="en-US"/>
        </w:rPr>
        <w:t xml:space="preserve">Si #6 </w:t>
        <w:tab/>
        <w:tab/>
        <w:t>Specific Si production rate (</w:t>
      </w:r>
      <w:r>
        <w:rPr>
          <w:rFonts w:eastAsia="Symbola"/>
        </w:rPr>
        <w:t>ρ</w:t>
      </w:r>
      <w:r>
        <w:rPr>
          <w:lang w:val="en-US"/>
        </w:rPr>
        <w:t xml:space="preserve">PDMPO) </w:t>
        <w:tab/>
        <w:tab/>
        <w:t>nmol PDMPO L</w:t>
      </w:r>
      <w:r>
        <w:rPr>
          <w:vertAlign w:val="superscript"/>
          <w:lang w:val="en-US"/>
        </w:rPr>
        <w:t>-1</w:t>
      </w:r>
      <w:r>
        <w:rPr>
          <w:lang w:val="en-US"/>
        </w:rPr>
        <w:t>d</w:t>
      </w:r>
      <w:r>
        <w:rPr>
          <w:vertAlign w:val="superscript"/>
          <w:lang w:val="en-US"/>
        </w:rPr>
        <w:t xml:space="preserve">-1  </w:t>
      </w:r>
      <w:r>
        <w:rPr>
          <w:lang w:val="en-US"/>
        </w:rPr>
        <w:t xml:space="preserve">and % relative contribution </w:t>
        <w:tab/>
        <w:tab/>
        <w:tab/>
        <w:tab/>
        <w:tab/>
        <w:tab/>
        <w:tab/>
        <w:tab/>
        <w:t>of each species to Si uptake</w:t>
      </w:r>
    </w:p>
    <w:p>
      <w:pPr>
        <w:pStyle w:val="Normal"/>
        <w:pBdr>
          <w:top w:val="single" w:sz="4" w:space="0" w:color="00000A"/>
          <w:left w:val="single" w:sz="4" w:space="0" w:color="00000A"/>
          <w:bottom w:val="single" w:sz="4" w:space="0" w:color="00000A"/>
          <w:right w:val="single" w:sz="4" w:space="0" w:color="00000A"/>
        </w:pBdr>
        <w:rPr>
          <w:vertAlign w:val="superscript"/>
          <w:lang w:val="en-US"/>
        </w:rPr>
      </w:pPr>
      <w:r>
        <w:rPr>
          <w:lang w:val="en-US"/>
        </w:rPr>
        <w:t>Si #7</w:t>
        <w:tab/>
        <w:tab/>
        <w:t>Diatom taxonomy and abundance</w:t>
        <w:tab/>
        <w:tab/>
        <w:tab/>
        <w:t>cells L</w:t>
      </w:r>
      <w:r>
        <w:rPr>
          <w:vertAlign w:val="superscript"/>
          <w:lang w:val="en-US"/>
        </w:rPr>
        <w:t>-1</w:t>
      </w:r>
    </w:p>
    <w:p>
      <w:pPr>
        <w:pStyle w:val="Normal"/>
        <w:spacing w:lineRule="atLeast" w:line="200"/>
        <w:ind w:left="-30" w:right="0" w:hanging="0"/>
        <w:jc w:val="both"/>
        <w:rPr>
          <w:i/>
          <w:iCs/>
          <w:color w:val="FF0000"/>
          <w:sz w:val="24"/>
          <w:szCs w:val="24"/>
          <w:u w:val="single"/>
          <w:lang w:val="en-GB"/>
        </w:rPr>
      </w:pPr>
      <w:r>
        <w:rPr>
          <w:i/>
          <w:iCs/>
          <w:color w:val="FF0000"/>
          <w:sz w:val="24"/>
          <w:szCs w:val="24"/>
          <w:u w:val="single"/>
          <w:lang w:val="en-GB"/>
        </w:rPr>
      </w:r>
    </w:p>
    <w:p>
      <w:pPr>
        <w:pStyle w:val="Normal"/>
        <w:spacing w:lineRule="atLeast" w:line="200"/>
        <w:ind w:left="-30" w:right="0" w:hanging="0"/>
        <w:jc w:val="both"/>
        <w:rPr>
          <w:rFonts w:eastAsia="Arial"/>
          <w:i/>
          <w:iCs/>
          <w:color w:val="FF0000"/>
          <w:sz w:val="24"/>
          <w:szCs w:val="24"/>
          <w:u w:val="single"/>
          <w:lang w:val="en-GB"/>
        </w:rPr>
      </w:pPr>
      <w:r>
        <w:rPr>
          <w:rFonts w:eastAsia="Arial"/>
          <w:i/>
          <w:iCs/>
          <w:color w:val="FF0000"/>
          <w:sz w:val="24"/>
          <w:szCs w:val="24"/>
          <w:u w:val="single"/>
          <w:lang w:val="en-GB"/>
        </w:rPr>
        <w:t>Sensor Precision:</w:t>
      </w:r>
    </w:p>
    <w:p>
      <w:pPr>
        <w:pStyle w:val="Normal"/>
        <w:spacing w:lineRule="atLeast" w:line="200"/>
        <w:ind w:left="-30" w:right="0" w:hanging="0"/>
        <w:jc w:val="both"/>
        <w:rPr>
          <w:iCs/>
          <w:sz w:val="22"/>
          <w:szCs w:val="22"/>
        </w:rPr>
      </w:pPr>
      <w:r>
        <w:rPr>
          <w:sz w:val="22"/>
          <w:szCs w:val="22"/>
        </w:rPr>
        <w:t>SiOH</w:t>
      </w:r>
      <w:r>
        <w:rPr>
          <w:sz w:val="22"/>
          <w:szCs w:val="22"/>
          <w:vertAlign w:val="subscript"/>
        </w:rPr>
        <w:t>4</w:t>
      </w:r>
      <w:r>
        <w:rPr>
          <w:sz w:val="22"/>
          <w:szCs w:val="22"/>
        </w:rPr>
        <w:tab/>
      </w:r>
      <w:r>
        <w:rPr>
          <w:iCs/>
          <w:sz w:val="22"/>
          <w:szCs w:val="22"/>
          <w:lang w:val="en-GB"/>
        </w:rPr>
        <w:t xml:space="preserve"> 0.1</w:t>
      </w:r>
      <w:r>
        <w:rPr>
          <w:iCs/>
          <w:sz w:val="22"/>
          <w:szCs w:val="22"/>
        </w:rPr>
        <w:t xml:space="preserve"> </w:t>
      </w:r>
      <w:r>
        <w:rPr>
          <w:iCs/>
          <w:sz w:val="22"/>
          <w:szCs w:val="22"/>
          <w:lang w:val="en-GB"/>
        </w:rPr>
        <w:t>µ</w:t>
      </w:r>
      <w:r>
        <w:rPr>
          <w:iCs/>
          <w:sz w:val="22"/>
          <w:szCs w:val="22"/>
        </w:rPr>
        <w:t>M</w:t>
      </w:r>
    </w:p>
    <w:p>
      <w:pPr>
        <w:pStyle w:val="Normal"/>
        <w:spacing w:lineRule="atLeast" w:line="200"/>
        <w:ind w:left="-30" w:right="0" w:hanging="0"/>
        <w:jc w:val="both"/>
        <w:rPr>
          <w:iCs/>
          <w:sz w:val="24"/>
          <w:szCs w:val="24"/>
          <w:lang w:val="en-GB"/>
        </w:rPr>
      </w:pPr>
      <w:r>
        <w:rPr>
          <w:iCs/>
          <w:sz w:val="24"/>
          <w:szCs w:val="24"/>
          <w:lang w:val="en-GB"/>
        </w:rPr>
      </w:r>
    </w:p>
    <w:p>
      <w:pPr>
        <w:pStyle w:val="Normal"/>
        <w:tabs>
          <w:tab w:val="left" w:pos="0" w:leader="none"/>
        </w:tabs>
        <w:rPr>
          <w:lang w:val="en-GB"/>
        </w:rPr>
      </w:pPr>
      <w:r>
        <w:rPr>
          <w:lang w:val="en-GB"/>
        </w:rPr>
      </w:r>
    </w:p>
    <w:p>
      <w:pPr>
        <w:pStyle w:val="Titre1"/>
        <w:numPr>
          <w:ilvl w:val="1"/>
          <w:numId w:val="2"/>
        </w:numPr>
        <w:tabs>
          <w:tab w:val="left" w:pos="0" w:leader="none"/>
          <w:tab w:val="left" w:pos="792" w:leader="none"/>
        </w:tabs>
        <w:ind w:left="0" w:right="0" w:hanging="432"/>
        <w:rPr>
          <w:i/>
        </w:rPr>
      </w:pPr>
      <w:r>
        <w:rPr/>
        <w:t>Décrire</w:t>
      </w:r>
      <w:r>
        <w:rPr>
          <w:rFonts w:eastAsia="Arial"/>
        </w:rPr>
        <w:t xml:space="preserve"> </w:t>
      </w:r>
      <w:r>
        <w:rPr/>
        <w:t>quels</w:t>
      </w:r>
      <w:r>
        <w:rPr>
          <w:rFonts w:eastAsia="Arial"/>
        </w:rPr>
        <w:t xml:space="preserve"> </w:t>
      </w:r>
      <w:r>
        <w:rPr/>
        <w:t>types</w:t>
      </w:r>
      <w:r>
        <w:rPr>
          <w:rFonts w:eastAsia="Arial"/>
        </w:rPr>
        <w:t xml:space="preserve"> </w:t>
      </w:r>
      <w:r>
        <w:rPr/>
        <w:t>de</w:t>
      </w:r>
      <w:r>
        <w:rPr>
          <w:rFonts w:eastAsia="Arial"/>
        </w:rPr>
        <w:t xml:space="preserve"> </w:t>
      </w:r>
      <w:r>
        <w:rPr/>
        <w:t>données</w:t>
      </w:r>
      <w:r>
        <w:rPr>
          <w:rFonts w:eastAsia="Arial"/>
        </w:rPr>
        <w:t xml:space="preserve"> </w:t>
      </w:r>
      <w:r>
        <w:rPr/>
        <w:t>sont</w:t>
      </w:r>
      <w:r>
        <w:rPr>
          <w:rFonts w:eastAsia="Arial"/>
        </w:rPr>
        <w:t xml:space="preserve"> </w:t>
      </w:r>
      <w:r>
        <w:rPr/>
        <w:t>nécessaires</w:t>
      </w:r>
      <w:r>
        <w:rPr>
          <w:rFonts w:eastAsia="Arial"/>
        </w:rPr>
        <w:t xml:space="preserve"> </w:t>
      </w:r>
      <w:r>
        <w:rPr/>
        <w:t>pour</w:t>
      </w:r>
      <w:r>
        <w:rPr>
          <w:rFonts w:eastAsia="Arial"/>
        </w:rPr>
        <w:t xml:space="preserve"> </w:t>
      </w:r>
      <w:r>
        <w:rPr/>
        <w:t>vous</w:t>
      </w:r>
      <w:r>
        <w:rPr>
          <w:rFonts w:eastAsia="Arial"/>
        </w:rPr>
        <w:t xml:space="preserve"> </w:t>
      </w:r>
      <w:r>
        <w:rPr/>
        <w:t>compléter</w:t>
      </w:r>
      <w:r>
        <w:rPr>
          <w:rFonts w:eastAsia="Arial"/>
        </w:rPr>
        <w:t xml:space="preserve"> </w:t>
      </w:r>
      <w:r>
        <w:rPr/>
        <w:t>votre</w:t>
      </w:r>
      <w:r>
        <w:rPr>
          <w:rFonts w:eastAsia="Arial"/>
        </w:rPr>
        <w:t xml:space="preserve"> </w:t>
      </w:r>
      <w:r>
        <w:rPr/>
        <w:t>propre</w:t>
      </w:r>
      <w:r>
        <w:rPr>
          <w:rFonts w:eastAsia="Arial"/>
        </w:rPr>
        <w:t xml:space="preserve"> </w:t>
      </w:r>
      <w:r>
        <w:rPr/>
        <w:t>jeu</w:t>
      </w:r>
      <w:r>
        <w:rPr>
          <w:rFonts w:eastAsia="Arial"/>
        </w:rPr>
        <w:t xml:space="preserve"> </w:t>
      </w:r>
      <w:r>
        <w:rPr/>
        <w:t>de</w:t>
      </w:r>
      <w:r>
        <w:rPr>
          <w:rFonts w:eastAsia="Arial"/>
        </w:rPr>
        <w:t xml:space="preserve"> </w:t>
      </w:r>
      <w:r>
        <w:rPr/>
        <w:t>données</w:t>
      </w:r>
      <w:r>
        <w:rPr>
          <w:rFonts w:eastAsia="Arial"/>
        </w:rPr>
        <w:t xml:space="preserve"> </w:t>
      </w:r>
      <w:r>
        <w:rPr>
          <w:b/>
        </w:rPr>
        <w:t>avant</w:t>
      </w:r>
      <w:r>
        <w:rPr>
          <w:rFonts w:eastAsia="Arial"/>
        </w:rPr>
        <w:t xml:space="preserve"> </w:t>
      </w:r>
      <w:r>
        <w:rPr/>
        <w:t>envoi</w:t>
      </w:r>
      <w:r>
        <w:rPr>
          <w:rFonts w:eastAsia="Arial"/>
        </w:rPr>
        <w:t xml:space="preserve"> </w:t>
      </w:r>
      <w:r>
        <w:rPr/>
        <w:t>à</w:t>
      </w:r>
      <w:r>
        <w:rPr>
          <w:rFonts w:eastAsia="Arial"/>
        </w:rPr>
        <w:t xml:space="preserve"> </w:t>
      </w:r>
      <w:r>
        <w:rPr/>
        <w:t>la</w:t>
      </w:r>
      <w:r>
        <w:rPr>
          <w:rFonts w:eastAsia="Arial"/>
        </w:rPr>
        <w:t xml:space="preserve"> </w:t>
      </w:r>
      <w:r>
        <w:rPr/>
        <w:t>base</w:t>
      </w:r>
      <w:r>
        <w:rPr>
          <w:rFonts w:eastAsia="Arial"/>
        </w:rPr>
        <w:t xml:space="preserve"> </w:t>
      </w:r>
      <w:r>
        <w:rPr/>
        <w:t>de</w:t>
      </w:r>
      <w:r>
        <w:rPr>
          <w:rFonts w:eastAsia="Arial"/>
        </w:rPr>
        <w:t xml:space="preserve"> </w:t>
      </w:r>
      <w:r>
        <w:rPr/>
        <w:t>données,</w:t>
      </w:r>
      <w:r>
        <w:rPr>
          <w:rFonts w:eastAsia="Arial"/>
        </w:rPr>
        <w:t xml:space="preserve"> </w:t>
      </w:r>
      <w:r>
        <w:rPr/>
        <w:t>et</w:t>
      </w:r>
      <w:r>
        <w:rPr>
          <w:rFonts w:eastAsia="Arial"/>
        </w:rPr>
        <w:t xml:space="preserve"> </w:t>
      </w:r>
      <w:r>
        <w:rPr/>
        <w:t>estimer</w:t>
      </w:r>
      <w:r>
        <w:rPr>
          <w:rFonts w:eastAsia="Arial"/>
        </w:rPr>
        <w:t xml:space="preserve"> </w:t>
      </w:r>
      <w:r>
        <w:rPr/>
        <w:t>le</w:t>
      </w:r>
      <w:r>
        <w:rPr>
          <w:rFonts w:eastAsia="Arial"/>
        </w:rPr>
        <w:t xml:space="preserve"> </w:t>
      </w:r>
      <w:r>
        <w:rPr/>
        <w:t>délai</w:t>
      </w:r>
      <w:r>
        <w:rPr>
          <w:rFonts w:eastAsia="Arial"/>
        </w:rPr>
        <w:t xml:space="preserve"> </w:t>
      </w:r>
      <w:r>
        <w:rPr/>
        <w:t>avant</w:t>
      </w:r>
      <w:r>
        <w:rPr>
          <w:rFonts w:eastAsia="Arial"/>
        </w:rPr>
        <w:t xml:space="preserve"> </w:t>
      </w:r>
      <w:r>
        <w:rPr/>
        <w:t>la</w:t>
      </w:r>
      <w:r>
        <w:rPr>
          <w:rFonts w:eastAsia="Arial"/>
        </w:rPr>
        <w:t xml:space="preserve"> </w:t>
      </w:r>
      <w:r>
        <w:rPr/>
        <w:t>disponibilité</w:t>
      </w:r>
      <w:r>
        <w:rPr>
          <w:rFonts w:eastAsia="Arial"/>
        </w:rPr>
        <w:t xml:space="preserve"> </w:t>
      </w:r>
      <w:r>
        <w:rPr/>
        <w:t>de</w:t>
      </w:r>
      <w:r>
        <w:rPr>
          <w:rFonts w:eastAsia="Arial"/>
        </w:rPr>
        <w:t xml:space="preserve"> </w:t>
      </w:r>
      <w:r>
        <w:rPr/>
        <w:t>vos</w:t>
      </w:r>
      <w:r>
        <w:rPr>
          <w:rFonts w:eastAsia="Arial"/>
        </w:rPr>
        <w:t xml:space="preserve"> </w:t>
      </w:r>
      <w:r>
        <w:rPr/>
        <w:t>données</w:t>
      </w:r>
      <w:r>
        <w:rPr>
          <w:rFonts w:eastAsia="Arial"/>
        </w:rPr>
        <w:t xml:space="preserve"> </w:t>
      </w:r>
      <w:r>
        <w:rPr/>
        <w:t>pour</w:t>
      </w:r>
      <w:r>
        <w:rPr>
          <w:rFonts w:eastAsia="Arial"/>
        </w:rPr>
        <w:t xml:space="preserve"> </w:t>
      </w:r>
      <w:r>
        <w:rPr/>
        <w:t>la</w:t>
      </w:r>
      <w:r>
        <w:rPr>
          <w:rFonts w:eastAsia="Arial"/>
        </w:rPr>
        <w:t xml:space="preserve"> </w:t>
      </w:r>
      <w:r>
        <w:rPr/>
        <w:t>base</w:t>
      </w:r>
      <w:r>
        <w:rPr>
          <w:rFonts w:eastAsia="Arial"/>
        </w:rPr>
        <w:t xml:space="preserve"> </w:t>
      </w:r>
      <w:r>
        <w:rPr/>
        <w:t>de</w:t>
      </w:r>
      <w:r>
        <w:rPr>
          <w:rFonts w:eastAsia="Arial"/>
        </w:rPr>
        <w:t xml:space="preserve"> </w:t>
      </w:r>
      <w:r>
        <w:rPr/>
        <w:t>données</w:t>
      </w:r>
      <w:r>
        <w:rPr>
          <w:rFonts w:eastAsia="Arial"/>
        </w:rPr>
        <w:t xml:space="preserve"> </w:t>
      </w:r>
      <w:r>
        <w:rPr/>
        <w:t>/</w:t>
      </w:r>
      <w:r>
        <w:rPr>
          <w:rFonts w:eastAsia="Arial"/>
        </w:rPr>
        <w:t xml:space="preserve"> </w:t>
      </w:r>
      <w:r>
        <w:rPr>
          <w:i/>
        </w:rPr>
        <w:t>Post-cruise</w:t>
      </w:r>
      <w:r>
        <w:rPr>
          <w:rFonts w:eastAsia="Arial"/>
          <w:i/>
        </w:rPr>
        <w:t xml:space="preserve"> </w:t>
      </w:r>
      <w:r>
        <w:rPr>
          <w:i/>
        </w:rPr>
        <w:t>data</w:t>
      </w:r>
      <w:r>
        <w:rPr>
          <w:rFonts w:eastAsia="Arial"/>
          <w:i/>
        </w:rPr>
        <w:t xml:space="preserve"> </w:t>
      </w:r>
      <w:r>
        <w:rPr>
          <w:i/>
        </w:rPr>
        <w:t>analysis/treatment</w:t>
      </w:r>
      <w:r>
        <w:rPr>
          <w:rFonts w:eastAsia="Arial"/>
          <w:i/>
        </w:rPr>
        <w:t xml:space="preserve"> </w:t>
      </w:r>
      <w:r>
        <w:rPr>
          <w:i/>
        </w:rPr>
        <w:t>required,</w:t>
      </w:r>
      <w:r>
        <w:rPr>
          <w:rFonts w:eastAsia="Arial"/>
          <w:i/>
        </w:rPr>
        <w:t xml:space="preserve"> </w:t>
      </w:r>
      <w:r>
        <w:rPr>
          <w:i/>
        </w:rPr>
        <w:t>and</w:t>
      </w:r>
      <w:r>
        <w:rPr>
          <w:rFonts w:eastAsia="Arial"/>
          <w:i/>
        </w:rPr>
        <w:t xml:space="preserve"> </w:t>
      </w:r>
      <w:r>
        <w:rPr>
          <w:i/>
        </w:rPr>
        <w:t>the</w:t>
      </w:r>
      <w:r>
        <w:rPr>
          <w:rFonts w:eastAsia="Arial"/>
          <w:i/>
        </w:rPr>
        <w:t xml:space="preserve"> </w:t>
      </w:r>
      <w:r>
        <w:rPr>
          <w:i/>
        </w:rPr>
        <w:t>time</w:t>
      </w:r>
      <w:r>
        <w:rPr>
          <w:rFonts w:eastAsia="Arial"/>
          <w:i/>
        </w:rPr>
        <w:t xml:space="preserve"> </w:t>
      </w:r>
      <w:r>
        <w:rPr>
          <w:i/>
        </w:rPr>
        <w:t>frame</w:t>
      </w:r>
      <w:r>
        <w:rPr>
          <w:rFonts w:eastAsia="Arial"/>
          <w:i/>
        </w:rPr>
        <w:t xml:space="preserve"> </w:t>
      </w:r>
      <w:r>
        <w:rPr>
          <w:i/>
        </w:rPr>
        <w:t>for</w:t>
      </w:r>
      <w:r>
        <w:rPr>
          <w:rFonts w:eastAsia="Arial"/>
          <w:i/>
        </w:rPr>
        <w:t xml:space="preserve"> </w:t>
      </w:r>
      <w:r>
        <w:rPr>
          <w:i/>
        </w:rPr>
        <w:t>this</w:t>
      </w:r>
    </w:p>
    <w:p>
      <w:pPr>
        <w:pStyle w:val="Normal"/>
        <w:tabs>
          <w:tab w:val="left" w:pos="0" w:leader="none"/>
        </w:tabs>
        <w:rPr/>
      </w:pPr>
      <w:r>
        <w:rPr/>
      </w:r>
    </w:p>
    <w:p>
      <w:pPr>
        <w:pStyle w:val="Normal"/>
        <w:tabs>
          <w:tab w:val="left" w:pos="0" w:leader="none"/>
        </w:tabs>
        <w:rPr>
          <w:szCs w:val="24"/>
          <w:lang w:val="en-GB" w:eastAsia="en-US"/>
        </w:rPr>
      </w:pPr>
      <w:r>
        <w:rPr>
          <w:rFonts w:eastAsia="Cambria"/>
          <w:i/>
          <w:iCs/>
          <w:color w:val="FF0000"/>
          <w:szCs w:val="24"/>
          <w:lang w:val="en-GB" w:eastAsia="en-US"/>
        </w:rPr>
        <w:t>Estimated</w:t>
      </w:r>
      <w:r>
        <w:rPr>
          <w:rFonts w:eastAsia="Arial"/>
          <w:i/>
          <w:iCs/>
          <w:color w:val="FF0000"/>
          <w:szCs w:val="24"/>
          <w:lang w:val="en-GB" w:eastAsia="en-US"/>
        </w:rPr>
        <w:t xml:space="preserve"> </w:t>
      </w:r>
      <w:r>
        <w:rPr>
          <w:i/>
          <w:iCs/>
          <w:color w:val="FF0000"/>
          <w:szCs w:val="24"/>
          <w:lang w:val="en-GB" w:eastAsia="en-US"/>
        </w:rPr>
        <w:t>Date</w:t>
      </w:r>
      <w:r>
        <w:rPr>
          <w:rFonts w:eastAsia="Arial"/>
          <w:i/>
          <w:iCs/>
          <w:color w:val="FF0000"/>
          <w:szCs w:val="24"/>
          <w:lang w:val="en-GB" w:eastAsia="en-US"/>
        </w:rPr>
        <w:t xml:space="preserve"> </w:t>
      </w:r>
      <w:r>
        <w:rPr>
          <w:i/>
          <w:iCs/>
          <w:color w:val="FF0000"/>
          <w:szCs w:val="24"/>
          <w:lang w:val="en-GB" w:eastAsia="en-US"/>
        </w:rPr>
        <w:t>of</w:t>
      </w:r>
      <w:r>
        <w:rPr>
          <w:rFonts w:eastAsia="Arial"/>
          <w:i/>
          <w:iCs/>
          <w:color w:val="FF0000"/>
          <w:szCs w:val="24"/>
          <w:lang w:val="en-GB" w:eastAsia="en-US"/>
        </w:rPr>
        <w:t xml:space="preserve"> </w:t>
      </w:r>
      <w:r>
        <w:rPr>
          <w:i/>
          <w:iCs/>
          <w:color w:val="FF0000"/>
          <w:szCs w:val="24"/>
          <w:lang w:val="en-GB" w:eastAsia="en-US"/>
        </w:rPr>
        <w:t>Delivery</w:t>
      </w:r>
      <w:r>
        <w:rPr>
          <w:rFonts w:eastAsia="Arial"/>
          <w:i/>
          <w:iCs/>
          <w:color w:val="FF0000"/>
          <w:szCs w:val="24"/>
          <w:lang w:val="en-GB" w:eastAsia="en-US"/>
        </w:rPr>
        <w:t xml:space="preserve"> </w:t>
      </w:r>
      <w:r>
        <w:rPr>
          <w:i/>
          <w:iCs/>
          <w:color w:val="FF0000"/>
          <w:szCs w:val="24"/>
          <w:lang w:val="en-GB" w:eastAsia="en-US"/>
        </w:rPr>
        <w:t>:</w:t>
      </w:r>
      <w:r>
        <w:rPr>
          <w:szCs w:val="24"/>
          <w:lang w:val="en-GB" w:eastAsia="en-US"/>
        </w:rPr>
        <w:t xml:space="preserve"> </w:t>
      </w:r>
    </w:p>
    <w:p>
      <w:pPr>
        <w:pStyle w:val="Normal"/>
        <w:tabs>
          <w:tab w:val="left" w:pos="0" w:leader="none"/>
        </w:tabs>
        <w:rPr>
          <w:szCs w:val="24"/>
          <w:lang w:val="en-GB" w:eastAsia="en-US"/>
        </w:rPr>
      </w:pPr>
      <w:r>
        <w:rPr>
          <w:rFonts w:eastAsia="Cambria"/>
          <w:i/>
          <w:iCs/>
          <w:color w:val="FF0000"/>
          <w:szCs w:val="24"/>
          <w:lang w:val="en-GB" w:eastAsia="en-US"/>
        </w:rPr>
        <w:t>Estimated</w:t>
      </w:r>
      <w:r>
        <w:rPr>
          <w:rFonts w:eastAsia="Arial"/>
          <w:i/>
          <w:iCs/>
          <w:color w:val="FF0000"/>
          <w:szCs w:val="24"/>
          <w:lang w:val="en-GB" w:eastAsia="en-US"/>
        </w:rPr>
        <w:t xml:space="preserve"> </w:t>
      </w:r>
      <w:r>
        <w:rPr>
          <w:i/>
          <w:iCs/>
          <w:color w:val="FF0000"/>
          <w:szCs w:val="24"/>
          <w:lang w:val="en-GB" w:eastAsia="en-US"/>
        </w:rPr>
        <w:t>Date</w:t>
      </w:r>
      <w:r>
        <w:rPr>
          <w:rFonts w:eastAsia="Arial"/>
          <w:i/>
          <w:iCs/>
          <w:color w:val="FF0000"/>
          <w:szCs w:val="24"/>
          <w:lang w:val="en-GB" w:eastAsia="en-US"/>
        </w:rPr>
        <w:t xml:space="preserve"> </w:t>
      </w:r>
      <w:r>
        <w:rPr>
          <w:i/>
          <w:iCs/>
          <w:color w:val="FF0000"/>
          <w:szCs w:val="24"/>
          <w:lang w:val="en-GB" w:eastAsia="en-US"/>
        </w:rPr>
        <w:t>of</w:t>
      </w:r>
      <w:r>
        <w:rPr>
          <w:rFonts w:eastAsia="Arial"/>
          <w:i/>
          <w:iCs/>
          <w:color w:val="FF0000"/>
          <w:szCs w:val="24"/>
          <w:lang w:val="en-GB" w:eastAsia="en-US"/>
        </w:rPr>
        <w:t xml:space="preserve"> </w:t>
      </w:r>
      <w:r>
        <w:rPr>
          <w:i/>
          <w:iCs/>
          <w:color w:val="FF0000"/>
          <w:szCs w:val="24"/>
          <w:lang w:val="en-GB" w:eastAsia="en-US"/>
        </w:rPr>
        <w:t>Delivery</w:t>
      </w:r>
      <w:r>
        <w:rPr>
          <w:rFonts w:eastAsia="Arial"/>
          <w:i/>
          <w:iCs/>
          <w:color w:val="FF0000"/>
          <w:szCs w:val="24"/>
          <w:lang w:val="en-GB" w:eastAsia="en-US"/>
        </w:rPr>
        <w:t xml:space="preserve"> </w:t>
      </w:r>
      <w:r>
        <w:rPr>
          <w:i/>
          <w:iCs/>
          <w:color w:val="FF0000"/>
          <w:szCs w:val="24"/>
          <w:lang w:val="en-GB" w:eastAsia="en-US"/>
        </w:rPr>
        <w:t>:</w:t>
      </w:r>
      <w:r>
        <w:rPr>
          <w:szCs w:val="24"/>
          <w:lang w:val="en-GB" w:eastAsia="en-US"/>
        </w:rPr>
        <w:t xml:space="preserve"> </w:t>
      </w:r>
    </w:p>
    <w:p>
      <w:pPr>
        <w:pStyle w:val="Normal"/>
        <w:pBdr>
          <w:top w:val="single" w:sz="4" w:space="0" w:color="00000A"/>
          <w:left w:val="single" w:sz="4" w:space="0" w:color="00000A"/>
          <w:bottom w:val="single" w:sz="4" w:space="0" w:color="00000A"/>
          <w:right w:val="single" w:sz="4" w:space="0" w:color="00000A"/>
        </w:pBdr>
        <w:rPr/>
      </w:pPr>
      <w:r>
        <w:rPr/>
        <w:t xml:space="preserve">Si #1 </w:t>
        <w:tab/>
        <w:tab/>
        <w:t>SiOH</w:t>
      </w:r>
      <w:r>
        <w:rPr>
          <w:vertAlign w:val="subscript"/>
        </w:rPr>
        <w:t>4</w:t>
      </w:r>
      <w:r>
        <w:rPr/>
        <w:tab/>
        <w:tab/>
        <w:tab/>
        <w:tab/>
        <w:tab/>
        <w:tab/>
        <w:t>done</w:t>
      </w:r>
    </w:p>
    <w:p>
      <w:pPr>
        <w:pStyle w:val="Normal"/>
        <w:pBdr>
          <w:top w:val="single" w:sz="4" w:space="0" w:color="00000A"/>
          <w:left w:val="single" w:sz="4" w:space="0" w:color="00000A"/>
          <w:bottom w:val="single" w:sz="4" w:space="0" w:color="00000A"/>
          <w:right w:val="single" w:sz="4" w:space="0" w:color="00000A"/>
        </w:pBdr>
        <w:rPr/>
      </w:pPr>
      <w:r>
        <w:rPr/>
        <w:t xml:space="preserve">Si #2 </w:t>
        <w:tab/>
        <w:tab/>
        <w:t>BSi &amp; LSi</w:t>
        <w:tab/>
        <w:tab/>
        <w:tab/>
        <w:tab/>
        <w:tab/>
        <w:t>Early 2017</w:t>
      </w:r>
    </w:p>
    <w:p>
      <w:pPr>
        <w:pStyle w:val="Normal"/>
        <w:pBdr>
          <w:top w:val="single" w:sz="4" w:space="0" w:color="00000A"/>
          <w:left w:val="single" w:sz="4" w:space="0" w:color="00000A"/>
          <w:bottom w:val="single" w:sz="4" w:space="0" w:color="00000A"/>
          <w:right w:val="single" w:sz="4" w:space="0" w:color="00000A"/>
        </w:pBdr>
        <w:rPr/>
      </w:pPr>
      <w:r>
        <w:rPr/>
        <w:t xml:space="preserve">Si #3 </w:t>
        <w:tab/>
        <w:tab/>
      </w:r>
      <w:r>
        <w:rPr>
          <w:rFonts w:eastAsia="Symbola"/>
        </w:rPr>
        <w:t>ρ</w:t>
      </w:r>
      <w:r>
        <w:rPr>
          <w:vertAlign w:val="superscript"/>
        </w:rPr>
        <w:t>32</w:t>
      </w:r>
      <w:r>
        <w:rPr>
          <w:lang w:val="fr-FR"/>
        </w:rPr>
        <w:t>Si</w:t>
      </w:r>
      <w:r>
        <w:rPr/>
        <w:tab/>
        <w:tab/>
        <w:tab/>
        <w:tab/>
        <w:tab/>
        <w:tab/>
        <w:t>Early 2017</w:t>
      </w:r>
    </w:p>
    <w:p>
      <w:pPr>
        <w:pStyle w:val="Normal"/>
        <w:pBdr>
          <w:top w:val="single" w:sz="4" w:space="0" w:color="00000A"/>
          <w:left w:val="single" w:sz="4" w:space="0" w:color="00000A"/>
          <w:bottom w:val="single" w:sz="4" w:space="0" w:color="00000A"/>
          <w:right w:val="single" w:sz="4" w:space="0" w:color="00000A"/>
        </w:pBdr>
        <w:rPr/>
      </w:pPr>
      <w:r>
        <w:rPr/>
        <w:t xml:space="preserve">Si #4 </w:t>
        <w:tab/>
        <w:tab/>
        <w:t xml:space="preserve">Si limitation experiment, , </w:t>
      </w:r>
      <w:r>
        <w:rPr>
          <w:lang w:val="fr-FR"/>
        </w:rPr>
        <w:t>V</w:t>
      </w:r>
      <w:r>
        <w:rPr>
          <w:vertAlign w:val="subscript"/>
          <w:lang w:val="fr-FR"/>
        </w:rPr>
        <w:t>max</w:t>
      </w:r>
      <w:r>
        <w:rPr>
          <w:lang w:val="fr-FR"/>
        </w:rPr>
        <w:t xml:space="preserve"> and K</w:t>
      </w:r>
      <w:r>
        <w:rPr>
          <w:vertAlign w:val="subscript"/>
          <w:lang w:val="fr-FR"/>
        </w:rPr>
        <w:t>Si</w:t>
      </w:r>
      <w:r>
        <w:rPr/>
        <w:tab/>
        <w:tab/>
        <w:t>Early 2017</w:t>
      </w:r>
    </w:p>
    <w:p>
      <w:pPr>
        <w:pStyle w:val="Normal"/>
        <w:pBdr>
          <w:top w:val="single" w:sz="4" w:space="0" w:color="00000A"/>
          <w:left w:val="single" w:sz="4" w:space="0" w:color="00000A"/>
          <w:bottom w:val="single" w:sz="4" w:space="0" w:color="00000A"/>
          <w:right w:val="single" w:sz="4" w:space="0" w:color="00000A"/>
        </w:pBdr>
        <w:rPr/>
      </w:pPr>
      <w:r>
        <w:rPr/>
        <w:t xml:space="preserve">Si #5 </w:t>
        <w:tab/>
        <w:tab/>
        <w:t>B</w:t>
      </w:r>
      <w:r>
        <w:rPr>
          <w:lang w:val="fr-FR"/>
        </w:rPr>
        <w:t>Si dissolution rate</w:t>
      </w:r>
      <w:r>
        <w:rPr/>
        <w:t xml:space="preserve"> (</w:t>
      </w:r>
      <w:r>
        <w:rPr>
          <w:rFonts w:eastAsia="Symbola"/>
        </w:rPr>
        <w:t>Δ</w:t>
      </w:r>
      <w:r>
        <w:rPr/>
        <w:t>BSi)</w:t>
      </w:r>
      <w:r>
        <w:rPr>
          <w:lang w:val="fr-FR"/>
        </w:rPr>
        <w:t xml:space="preserve">, </w:t>
      </w:r>
      <w:r>
        <w:rPr/>
        <w:tab/>
        <w:tab/>
        <w:tab/>
        <w:t>End  2017</w:t>
      </w:r>
    </w:p>
    <w:p>
      <w:pPr>
        <w:pStyle w:val="Normal"/>
        <w:pBdr>
          <w:top w:val="single" w:sz="4" w:space="0" w:color="00000A"/>
          <w:left w:val="single" w:sz="4" w:space="0" w:color="00000A"/>
          <w:bottom w:val="single" w:sz="4" w:space="0" w:color="00000A"/>
          <w:right w:val="single" w:sz="4" w:space="0" w:color="00000A"/>
        </w:pBdr>
        <w:rPr>
          <w:lang w:val="en-US"/>
        </w:rPr>
      </w:pPr>
      <w:r>
        <w:rPr>
          <w:lang w:val="en-US"/>
        </w:rPr>
        <w:t xml:space="preserve">Si #6 </w:t>
        <w:tab/>
        <w:tab/>
        <w:t>Specific Si production rate (</w:t>
      </w:r>
      <w:r>
        <w:rPr>
          <w:rFonts w:eastAsia="Symbola"/>
        </w:rPr>
        <w:t>ρ</w:t>
      </w:r>
      <w:r>
        <w:rPr>
          <w:lang w:val="en-US"/>
        </w:rPr>
        <w:t xml:space="preserve">PDMPO) </w:t>
        <w:tab/>
        <w:tab/>
        <w:t>End of 2017</w:t>
      </w:r>
    </w:p>
    <w:p>
      <w:pPr>
        <w:pStyle w:val="Normal"/>
        <w:pBdr>
          <w:top w:val="single" w:sz="4" w:space="0" w:color="00000A"/>
          <w:left w:val="single" w:sz="4" w:space="0" w:color="00000A"/>
          <w:bottom w:val="single" w:sz="4" w:space="0" w:color="00000A"/>
          <w:right w:val="single" w:sz="4" w:space="0" w:color="00000A"/>
        </w:pBdr>
        <w:rPr>
          <w:lang w:val="en-US"/>
        </w:rPr>
      </w:pPr>
      <w:r>
        <w:rPr>
          <w:lang w:val="en-US"/>
        </w:rPr>
        <w:t>Si #7</w:t>
        <w:tab/>
        <w:tab/>
        <w:t>Diatom taxonomy and abundance</w:t>
        <w:tab/>
        <w:tab/>
        <w:tab/>
        <w:t>End of 2017</w:t>
      </w:r>
    </w:p>
    <w:p>
      <w:pPr>
        <w:pStyle w:val="Normal"/>
        <w:tabs>
          <w:tab w:val="left" w:pos="0" w:leader="none"/>
        </w:tabs>
        <w:rPr>
          <w:szCs w:val="24"/>
          <w:lang w:val="en-GB" w:eastAsia="en-US"/>
        </w:rPr>
      </w:pPr>
      <w:r>
        <w:rPr>
          <w:szCs w:val="24"/>
          <w:lang w:val="en-GB" w:eastAsia="en-US"/>
        </w:rPr>
      </w:r>
    </w:p>
    <w:p>
      <w:pPr>
        <w:pStyle w:val="Titre3"/>
        <w:numPr>
          <w:ilvl w:val="0"/>
          <w:numId w:val="2"/>
        </w:numPr>
        <w:pBdr>
          <w:top w:val="nil"/>
          <w:left w:val="nil"/>
          <w:bottom w:val="single" w:sz="4" w:space="1" w:color="000001"/>
          <w:right w:val="nil"/>
        </w:pBdr>
        <w:tabs>
          <w:tab w:val="left" w:pos="0" w:leader="none"/>
          <w:tab w:val="left" w:pos="360" w:leader="none"/>
        </w:tabs>
        <w:rPr/>
      </w:pPr>
      <w:r>
        <w:rPr/>
        <w:t>REFERENCES</w:t>
      </w:r>
      <w:r>
        <w:rPr>
          <w:rFonts w:eastAsia="Arial"/>
        </w:rPr>
        <w:t xml:space="preserve"> </w:t>
      </w:r>
      <w:r>
        <w:rPr/>
        <w:t>BIBLIOGRAPHIQUES</w:t>
      </w:r>
    </w:p>
    <w:p>
      <w:pPr>
        <w:pStyle w:val="Normal"/>
        <w:ind w:left="60" w:right="0" w:hanging="0"/>
        <w:rPr/>
      </w:pPr>
      <w:r>
        <w:rPr/>
      </w:r>
    </w:p>
    <w:p>
      <w:pPr>
        <w:pStyle w:val="Normal"/>
        <w:numPr>
          <w:ilvl w:val="0"/>
          <w:numId w:val="5"/>
        </w:numPr>
        <w:tabs>
          <w:tab w:val="left" w:pos="425" w:leader="none"/>
        </w:tabs>
        <w:jc w:val="both"/>
        <w:rPr>
          <w:sz w:val="22"/>
          <w:szCs w:val="22"/>
          <w:lang w:val="en-US" w:eastAsia="zh-CN"/>
        </w:rPr>
      </w:pPr>
      <w:r>
        <w:rPr>
          <w:sz w:val="22"/>
          <w:szCs w:val="22"/>
          <w:lang w:val="en-US" w:eastAsia="zh-CN"/>
        </w:rPr>
        <w:t xml:space="preserve">Corvaisier, R., Tréguer, P. J., Beucher, C. P. and Elskens, M.: Determination of the rate of production and dissolution of biosilica in marine waters by thermal ionisation mass spectrometry, </w:t>
      </w:r>
      <w:r>
        <w:rPr>
          <w:i/>
          <w:iCs/>
          <w:sz w:val="22"/>
          <w:szCs w:val="22"/>
          <w:lang w:val="en-US" w:eastAsia="zh-CN"/>
        </w:rPr>
        <w:t>Anal. Chim. Acta</w:t>
      </w:r>
      <w:r>
        <w:rPr>
          <w:sz w:val="22"/>
          <w:szCs w:val="22"/>
          <w:lang w:val="en-US" w:eastAsia="zh-CN"/>
        </w:rPr>
        <w:t xml:space="preserve">, 534(1), 149–155, doi:10.1016/j.aca.2004.11.020, </w:t>
      </w:r>
      <w:r>
        <w:rPr>
          <w:sz w:val="22"/>
          <w:szCs w:val="22"/>
          <w:lang w:eastAsia="zh-CN"/>
        </w:rPr>
        <w:t>(</w:t>
      </w:r>
      <w:r>
        <w:rPr>
          <w:sz w:val="22"/>
          <w:szCs w:val="22"/>
          <w:lang w:val="en-US" w:eastAsia="zh-CN"/>
        </w:rPr>
        <w:t>2005</w:t>
      </w:r>
      <w:r>
        <w:rPr>
          <w:sz w:val="22"/>
          <w:szCs w:val="22"/>
          <w:lang w:eastAsia="zh-CN"/>
        </w:rPr>
        <w:t>)</w:t>
      </w:r>
      <w:r>
        <w:rPr>
          <w:sz w:val="22"/>
          <w:szCs w:val="22"/>
          <w:lang w:val="en-US" w:eastAsia="zh-CN"/>
        </w:rPr>
        <w:t>.</w:t>
      </w:r>
    </w:p>
    <w:p>
      <w:pPr>
        <w:pStyle w:val="Style11"/>
        <w:numPr>
          <w:ilvl w:val="0"/>
          <w:numId w:val="5"/>
        </w:numPr>
        <w:tabs>
          <w:tab w:val="left" w:pos="425" w:leader="none"/>
        </w:tabs>
        <w:jc w:val="both"/>
        <w:rPr>
          <w:rFonts w:ascii="Times New Roman" w:hAnsi="Times New Roman"/>
          <w:sz w:val="22"/>
          <w:lang w:val="en-US" w:eastAsia="zh-CN"/>
        </w:rPr>
      </w:pPr>
      <w:r>
        <w:rPr>
          <w:rFonts w:ascii="Times New Roman" w:hAnsi="Times New Roman"/>
          <w:sz w:val="22"/>
          <w:lang w:val="en-US" w:eastAsia="zh-CN"/>
        </w:rPr>
        <w:t>Fripiat, F., Corvaisier, R., Navez, J., Elskens, M., Schoemann, V., Leblanc, K., André, L. and Cardinal, D.: Measuring production-dissolution rates of marine biogenic silica by</w:t>
      </w:r>
      <w:r>
        <w:rPr>
          <w:rFonts w:ascii="Times New Roman" w:hAnsi="Times New Roman"/>
          <w:sz w:val="22"/>
          <w:vertAlign w:val="superscript"/>
          <w:lang w:val="en-US" w:eastAsia="zh-CN"/>
        </w:rPr>
        <w:t xml:space="preserve"> 30</w:t>
      </w:r>
      <w:r>
        <w:rPr>
          <w:rFonts w:ascii="Times New Roman" w:hAnsi="Times New Roman"/>
          <w:sz w:val="22"/>
          <w:lang w:val="en-US" w:eastAsia="zh-CN"/>
        </w:rPr>
        <w:t xml:space="preserve">Si-isotope dilution using a high-resolution sector field inductively coupled plasma mass spectrometer, </w:t>
      </w:r>
      <w:r>
        <w:rPr>
          <w:rFonts w:ascii="Times New Roman" w:hAnsi="Times New Roman"/>
          <w:i/>
          <w:iCs/>
          <w:sz w:val="22"/>
          <w:lang w:val="en-US" w:eastAsia="zh-CN"/>
        </w:rPr>
        <w:t>Limnol. Oceanogr. Methods</w:t>
      </w:r>
      <w:r>
        <w:rPr>
          <w:rFonts w:ascii="Times New Roman" w:hAnsi="Times New Roman"/>
          <w:sz w:val="22"/>
          <w:lang w:val="en-US" w:eastAsia="zh-CN"/>
        </w:rPr>
        <w:t>, 7(7), 470–478, doi:10.4319/lom.2009.7.470</w:t>
      </w:r>
      <w:r>
        <w:rPr>
          <w:rFonts w:ascii="Times New Roman" w:hAnsi="Times New Roman"/>
          <w:sz w:val="22"/>
          <w:lang w:eastAsia="zh-CN"/>
        </w:rPr>
        <w:t xml:space="preserve"> (</w:t>
      </w:r>
      <w:r>
        <w:rPr>
          <w:rFonts w:ascii="Times New Roman" w:hAnsi="Times New Roman"/>
          <w:sz w:val="22"/>
          <w:lang w:val="en-US" w:eastAsia="zh-CN"/>
        </w:rPr>
        <w:t>2009</w:t>
      </w:r>
      <w:r>
        <w:rPr>
          <w:rFonts w:ascii="Times New Roman" w:hAnsi="Times New Roman"/>
          <w:sz w:val="22"/>
          <w:lang w:eastAsia="zh-CN"/>
        </w:rPr>
        <w:t>)</w:t>
      </w:r>
      <w:r>
        <w:rPr>
          <w:rFonts w:ascii="Times New Roman" w:hAnsi="Times New Roman"/>
          <w:sz w:val="22"/>
          <w:lang w:val="en-US" w:eastAsia="zh-CN"/>
        </w:rPr>
        <w:t>.</w:t>
      </w:r>
    </w:p>
    <w:p>
      <w:pPr>
        <w:pStyle w:val="Style11"/>
        <w:numPr>
          <w:ilvl w:val="0"/>
          <w:numId w:val="5"/>
        </w:numPr>
        <w:tabs>
          <w:tab w:val="left" w:pos="425" w:leader="none"/>
        </w:tabs>
        <w:jc w:val="both"/>
        <w:rPr>
          <w:rFonts w:ascii="Times New Roman" w:hAnsi="Times New Roman"/>
          <w:sz w:val="22"/>
          <w:lang w:val="en-US"/>
        </w:rPr>
      </w:pPr>
      <w:r>
        <w:rPr>
          <w:rFonts w:ascii="Times New Roman" w:hAnsi="Times New Roman"/>
          <w:sz w:val="22"/>
          <w:lang w:val="en-US"/>
        </w:rPr>
        <w:t xml:space="preserve">Leblanc, K. &amp; Hutchins, D. A. New applications of a biogenic silica deposition fluorophore in the study of </w:t>
        <w:tab/>
        <w:t xml:space="preserve">oceanic diatoms. </w:t>
      </w:r>
      <w:r>
        <w:rPr>
          <w:rFonts w:ascii="Times New Roman" w:hAnsi="Times New Roman"/>
          <w:i/>
          <w:iCs/>
          <w:sz w:val="22"/>
          <w:lang w:val="en-US"/>
        </w:rPr>
        <w:t>Limnol. Oceanogr. Methods</w:t>
      </w:r>
      <w:r>
        <w:rPr>
          <w:rFonts w:ascii="Times New Roman" w:hAnsi="Times New Roman"/>
          <w:sz w:val="22"/>
          <w:lang w:val="en-US"/>
        </w:rPr>
        <w:t xml:space="preserve"> 3, 462–476 (2005).</w:t>
      </w:r>
    </w:p>
    <w:p>
      <w:pPr>
        <w:pStyle w:val="Style31"/>
        <w:numPr>
          <w:ilvl w:val="0"/>
          <w:numId w:val="5"/>
        </w:numPr>
        <w:tabs>
          <w:tab w:val="left" w:pos="425" w:leader="none"/>
        </w:tabs>
        <w:jc w:val="both"/>
        <w:rPr>
          <w:sz w:val="22"/>
          <w:szCs w:val="22"/>
          <w:lang w:val="en-US"/>
        </w:rPr>
      </w:pPr>
      <w:r>
        <w:rPr>
          <w:sz w:val="22"/>
          <w:szCs w:val="22"/>
          <w:lang w:val="en-US"/>
        </w:rPr>
        <w:t xml:space="preserve">Leynaert, A., Tréguer, P., Lancelot, C. &amp; Rodier, M. Silicon limitation of biogenic silica production in the Equatorial Pacific. </w:t>
      </w:r>
      <w:r>
        <w:rPr>
          <w:i/>
          <w:iCs/>
          <w:sz w:val="22"/>
          <w:szCs w:val="22"/>
          <w:lang w:val="en-US"/>
        </w:rPr>
        <w:t>Deep-Sea Res. I</w:t>
      </w:r>
      <w:r>
        <w:rPr>
          <w:sz w:val="22"/>
          <w:szCs w:val="22"/>
          <w:lang w:val="en-US"/>
        </w:rPr>
        <w:t xml:space="preserve"> 48, 639–660 (2001).</w:t>
      </w:r>
    </w:p>
    <w:p>
      <w:pPr>
        <w:pStyle w:val="Style11"/>
        <w:numPr>
          <w:ilvl w:val="0"/>
          <w:numId w:val="5"/>
        </w:numPr>
        <w:tabs>
          <w:tab w:val="left" w:pos="425" w:leader="none"/>
        </w:tabs>
        <w:jc w:val="both"/>
        <w:rPr>
          <w:rFonts w:ascii="Times New Roman" w:hAnsi="Times New Roman"/>
          <w:sz w:val="22"/>
          <w:lang w:val="en-US" w:eastAsia="zh-CN"/>
        </w:rPr>
      </w:pPr>
      <w:r>
        <w:rPr>
          <w:rFonts w:ascii="Times New Roman" w:hAnsi="Times New Roman"/>
          <w:sz w:val="22"/>
          <w:lang w:val="en-US" w:eastAsia="zh-CN"/>
        </w:rPr>
        <w:t xml:space="preserve">McNair, H. M., Brzezinski, M. A. and Krause, J. W.: Quantifying diatom silicification with the fluorescent dye, PDMPO, </w:t>
      </w:r>
      <w:r>
        <w:rPr>
          <w:rFonts w:ascii="Times New Roman" w:hAnsi="Times New Roman"/>
          <w:i/>
          <w:iCs/>
          <w:sz w:val="22"/>
          <w:lang w:val="en-US" w:eastAsia="zh-CN"/>
        </w:rPr>
        <w:t>Limnol. Oceanogr. Methods,</w:t>
      </w:r>
      <w:r>
        <w:rPr>
          <w:rFonts w:ascii="Times New Roman" w:hAnsi="Times New Roman"/>
          <w:sz w:val="22"/>
          <w:lang w:val="en-US" w:eastAsia="zh-CN"/>
        </w:rPr>
        <w:t xml:space="preserve"> 13(10), 587–599, doi:10.1002/lom3.10049, </w:t>
      </w:r>
      <w:r>
        <w:rPr>
          <w:rFonts w:ascii="Times New Roman" w:hAnsi="Times New Roman"/>
          <w:sz w:val="22"/>
          <w:lang w:eastAsia="zh-CN"/>
        </w:rPr>
        <w:t>(</w:t>
      </w:r>
      <w:r>
        <w:rPr>
          <w:rFonts w:ascii="Times New Roman" w:hAnsi="Times New Roman"/>
          <w:sz w:val="22"/>
          <w:lang w:val="en-US" w:eastAsia="zh-CN"/>
        </w:rPr>
        <w:t>2015</w:t>
      </w:r>
      <w:r>
        <w:rPr>
          <w:rFonts w:ascii="Times New Roman" w:hAnsi="Times New Roman"/>
          <w:sz w:val="22"/>
          <w:lang w:eastAsia="zh-CN"/>
        </w:rPr>
        <w:t>)</w:t>
      </w:r>
      <w:r>
        <w:rPr>
          <w:rFonts w:ascii="Times New Roman" w:hAnsi="Times New Roman"/>
          <w:sz w:val="22"/>
          <w:lang w:val="en-US" w:eastAsia="zh-CN"/>
        </w:rPr>
        <w:t>.</w:t>
      </w:r>
    </w:p>
    <w:p>
      <w:pPr>
        <w:pStyle w:val="Style31"/>
        <w:numPr>
          <w:ilvl w:val="0"/>
          <w:numId w:val="5"/>
        </w:numPr>
        <w:tabs>
          <w:tab w:val="left" w:pos="425" w:leader="none"/>
        </w:tabs>
        <w:jc w:val="both"/>
        <w:rPr>
          <w:sz w:val="22"/>
          <w:szCs w:val="22"/>
        </w:rPr>
      </w:pPr>
      <w:r>
        <w:rPr>
          <w:sz w:val="22"/>
          <w:szCs w:val="22"/>
          <w:lang w:val="en-US"/>
        </w:rPr>
        <w:t xml:space="preserve">Moriceau, B. </w:t>
      </w:r>
      <w:r>
        <w:rPr>
          <w:i/>
          <w:iCs/>
          <w:sz w:val="22"/>
          <w:szCs w:val="22"/>
          <w:lang w:val="en-US"/>
        </w:rPr>
        <w:t>et al.</w:t>
      </w:r>
      <w:r>
        <w:rPr>
          <w:sz w:val="22"/>
          <w:szCs w:val="22"/>
          <w:lang w:val="en-US"/>
        </w:rPr>
        <w:t xml:space="preserve"> Si–C interactions during degradation of the diatom </w:t>
      </w:r>
      <w:r>
        <w:rPr>
          <w:i/>
          <w:iCs/>
          <w:sz w:val="22"/>
          <w:szCs w:val="22"/>
          <w:lang w:val="en-US"/>
        </w:rPr>
        <w:t>Skeletonema marinoi</w:t>
      </w:r>
      <w:r>
        <w:rPr>
          <w:sz w:val="22"/>
          <w:szCs w:val="22"/>
          <w:lang w:val="en-US"/>
        </w:rPr>
        <w:t xml:space="preserve">. </w:t>
      </w:r>
      <w:r>
        <w:rPr>
          <w:i/>
          <w:iCs/>
          <w:sz w:val="22"/>
          <w:szCs w:val="22"/>
        </w:rPr>
        <w:t xml:space="preserve">Deep-Sea Res. Part </w:t>
        <w:tab/>
        <w:t>II</w:t>
      </w:r>
      <w:r>
        <w:rPr>
          <w:sz w:val="22"/>
          <w:szCs w:val="22"/>
        </w:rPr>
        <w:t xml:space="preserve"> 56, 1381–1395 (2009).</w:t>
      </w:r>
    </w:p>
    <w:p>
      <w:pPr>
        <w:pStyle w:val="Style11"/>
        <w:numPr>
          <w:ilvl w:val="0"/>
          <w:numId w:val="5"/>
        </w:numPr>
        <w:tabs>
          <w:tab w:val="left" w:pos="425" w:leader="none"/>
        </w:tabs>
        <w:jc w:val="both"/>
        <w:rPr>
          <w:rFonts w:ascii="Times New Roman" w:hAnsi="Times New Roman"/>
          <w:sz w:val="22"/>
          <w:lang w:val="en-US"/>
        </w:rPr>
      </w:pPr>
      <w:r>
        <w:rPr>
          <w:rFonts w:ascii="Times New Roman" w:hAnsi="Times New Roman"/>
          <w:sz w:val="22"/>
          <w:lang w:val="en-US"/>
        </w:rPr>
        <w:t xml:space="preserve">Ragueneau, O. </w:t>
      </w:r>
      <w:r>
        <w:rPr>
          <w:rFonts w:ascii="Times New Roman" w:hAnsi="Times New Roman"/>
          <w:i/>
          <w:iCs/>
          <w:sz w:val="22"/>
          <w:lang w:val="en-US"/>
        </w:rPr>
        <w:t>et al.</w:t>
      </w:r>
      <w:r>
        <w:rPr>
          <w:rFonts w:ascii="Times New Roman" w:hAnsi="Times New Roman"/>
          <w:sz w:val="22"/>
          <w:lang w:val="en-US"/>
        </w:rPr>
        <w:t xml:space="preserve"> Biodeposition by an invasive suspension feeder impacts the biogeochemical cycle of Si in a coastal ecosystem (Bay of Brest, France). </w:t>
      </w:r>
      <w:r>
        <w:rPr>
          <w:rFonts w:ascii="Times New Roman" w:hAnsi="Times New Roman"/>
          <w:i/>
          <w:iCs/>
          <w:sz w:val="22"/>
          <w:lang w:val="en-US"/>
        </w:rPr>
        <w:t xml:space="preserve">Biogeochemistry, </w:t>
      </w:r>
      <w:r>
        <w:rPr>
          <w:rFonts w:ascii="Times New Roman" w:hAnsi="Times New Roman"/>
          <w:sz w:val="22"/>
          <w:lang w:val="en-US"/>
        </w:rPr>
        <w:t xml:space="preserve">25 (5-6), 697-710, doi:10.1007/s10533-004-5677-3 (2005). </w:t>
      </w:r>
    </w:p>
    <w:p>
      <w:pPr>
        <w:pStyle w:val="Style11"/>
        <w:numPr>
          <w:ilvl w:val="0"/>
          <w:numId w:val="5"/>
        </w:numPr>
        <w:tabs>
          <w:tab w:val="left" w:pos="425" w:leader="none"/>
        </w:tabs>
        <w:jc w:val="both"/>
        <w:rPr>
          <w:rFonts w:ascii="Times New Roman" w:hAnsi="Times New Roman"/>
          <w:sz w:val="22"/>
          <w:lang w:val="en-US"/>
        </w:rPr>
      </w:pPr>
      <w:r>
        <w:rPr>
          <w:rFonts w:ascii="Times New Roman" w:hAnsi="Times New Roman"/>
          <w:sz w:val="22"/>
          <w:lang w:val="en-US"/>
        </w:rPr>
        <w:t xml:space="preserve">Tréguer, P. </w:t>
      </w:r>
      <w:r>
        <w:rPr>
          <w:rFonts w:ascii="Times New Roman" w:hAnsi="Times New Roman"/>
          <w:i/>
          <w:iCs/>
          <w:sz w:val="22"/>
          <w:lang w:val="en-US"/>
        </w:rPr>
        <w:t>et al.</w:t>
      </w:r>
      <w:r>
        <w:rPr>
          <w:rFonts w:ascii="Times New Roman" w:hAnsi="Times New Roman"/>
          <w:sz w:val="22"/>
          <w:lang w:val="en-US"/>
        </w:rPr>
        <w:t xml:space="preserve"> Production of biogenic silica in the Weddell-Scotia Seas measured with </w:t>
      </w:r>
      <w:r>
        <w:rPr>
          <w:rFonts w:ascii="Times New Roman" w:hAnsi="Times New Roman"/>
          <w:sz w:val="22"/>
          <w:vertAlign w:val="superscript"/>
          <w:lang w:val="en-US"/>
        </w:rPr>
        <w:t>32</w:t>
      </w:r>
      <w:r>
        <w:rPr>
          <w:rFonts w:ascii="Times New Roman" w:hAnsi="Times New Roman"/>
          <w:sz w:val="22"/>
          <w:lang w:val="en-US"/>
        </w:rPr>
        <w:t xml:space="preserve">Si. </w:t>
      </w:r>
      <w:r>
        <w:rPr>
          <w:rFonts w:ascii="Times New Roman" w:hAnsi="Times New Roman"/>
          <w:i/>
          <w:iCs/>
          <w:sz w:val="22"/>
          <w:lang w:val="en-US"/>
        </w:rPr>
        <w:t>Limnol. Oceanogr.</w:t>
      </w:r>
      <w:r>
        <w:rPr>
          <w:rFonts w:ascii="Times New Roman" w:hAnsi="Times New Roman"/>
          <w:sz w:val="22"/>
          <w:lang w:val="en-US"/>
        </w:rPr>
        <w:t xml:space="preserve"> 36, 1217–1227 (1991).</w:t>
      </w:r>
    </w:p>
    <w:p>
      <w:pPr>
        <w:pStyle w:val="Style11"/>
        <w:numPr>
          <w:ilvl w:val="0"/>
          <w:numId w:val="5"/>
        </w:numPr>
        <w:tabs>
          <w:tab w:val="left" w:pos="425" w:leader="none"/>
        </w:tabs>
        <w:jc w:val="both"/>
        <w:rPr>
          <w:rFonts w:ascii="Times New Roman" w:hAnsi="Times New Roman"/>
          <w:sz w:val="22"/>
          <w:lang w:val="en-US" w:eastAsia="zh-CN"/>
        </w:rPr>
      </w:pPr>
      <w:r>
        <w:rPr>
          <w:rFonts w:ascii="Times New Roman" w:hAnsi="Times New Roman"/>
          <w:sz w:val="22"/>
          <w:lang w:val="en-US" w:eastAsia="zh-CN"/>
        </w:rPr>
        <w:t xml:space="preserve">Utermöhl, M.: Über das umgekehrte mikroskop, </w:t>
      </w:r>
      <w:r>
        <w:rPr>
          <w:rFonts w:ascii="Times New Roman" w:hAnsi="Times New Roman"/>
          <w:i/>
          <w:iCs/>
          <w:sz w:val="22"/>
          <w:lang w:val="en-US" w:eastAsia="zh-CN"/>
        </w:rPr>
        <w:t>Arch. für Hydrobiol. und Planktologie</w:t>
      </w:r>
      <w:r>
        <w:rPr>
          <w:rFonts w:ascii="Times New Roman" w:hAnsi="Times New Roman"/>
          <w:sz w:val="22"/>
          <w:lang w:val="en-US" w:eastAsia="zh-CN"/>
        </w:rPr>
        <w:t>, 22, 643–645, (1931).</w:t>
      </w:r>
    </w:p>
    <w:p>
      <w:pPr>
        <w:pStyle w:val="Normal"/>
        <w:widowControl w:val="false"/>
        <w:jc w:val="both"/>
        <w:rPr/>
      </w:pPr>
      <w:r>
        <w:rPr/>
      </w:r>
    </w:p>
    <w:sectPr>
      <w:type w:val="nextPage"/>
      <w:pgSz w:w="12240" w:h="15840"/>
      <w:pgMar w:left="1418" w:right="1134" w:header="0" w:top="1418" w:footer="0" w:bottom="1418"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Wingdings">
    <w:charset w:val="01"/>
    <w:family w:val="roman"/>
    <w:pitch w:val="variable"/>
  </w:font>
  <w:font w:name="Courier New">
    <w:charset w:val="01"/>
    <w:family w:val="roman"/>
    <w:pitch w:val="variable"/>
  </w:font>
  <w:font w:name="Liberation Sans">
    <w:altName w:val="Arial"/>
    <w:charset w:val="01"/>
    <w:family w:val="swiss"/>
    <w:pitch w:val="variable"/>
  </w:font>
  <w:font w:name="Calibri">
    <w:charset w:val="01"/>
    <w:family w:val="roman"/>
    <w:pitch w:val="variable"/>
  </w:font>
  <w:font w:name="Arial">
    <w:charset w:val="01"/>
    <w:family w:val="roman"/>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lvl w:ilvl="0">
      <w:start w:val="1"/>
      <w:numFmt w:val="bullet"/>
      <w:lvlText w:val=""/>
      <w:lvlJc w:val="left"/>
      <w:pPr>
        <w:tabs>
          <w:tab w:val="num" w:pos="42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42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en-US" w:eastAsia="en-US" w:bidi="ar-SA"/>
      </w:rPr>
    </w:rPrDefault>
    <w:pPrDefault>
      <w:pPr/>
    </w:pPrDefault>
  </w:docDefaults>
  <w:latentStyles w:count="382" w:defQFormat="0" w:defUnhideWhenUsed="0" w:defSemiHidden="0" w:defUIPriority="99" w:defLockedState="0">
    <w:lsdException w:qFormat="1" w:uiPriority="0" w:name="Normal"/>
    <w:lsdException w:qFormat="1" w:uiPriority="0" w:name="heading 1"/>
    <w:lsdException w:qFormat="1" w:uiPriority="0" w:name="heading 2"/>
    <w:lsdException w:qFormat="1" w:uiPriority="0" w:name="heading 3"/>
    <w:lsdException w:qFormat="1" w:uiPriority="0"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iPriority="0"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iPriority="0"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iPriority="0" w:name="Default Paragraph Font"/>
    <w:lsdException w:uiPriority="0" w:name="Body Text"/>
    <w:lsdException w:uiPriority="0"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iPriority="0"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iPriority="0"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iPriority="0" w:name="Balloon Text"/>
    <w:lsdException w:unhideWhenUsed="1" w:semiHidden="1" w:name="Table Theme"/>
    <w:lsdException w:unhideWhenUsed="1" w:semiHidden="1" w:name="Note Level 1"/>
    <w:lsdException w:unhideWhenUsed="1" w:semiHidden="1" w:name="Note Level 2"/>
    <w:lsdException w:unhideWhenUsed="1" w:semiHidden="1" w:name="Note Level 3"/>
    <w:lsdException w:unhideWhenUsed="1" w:semiHidden="1" w:name="Note Level 4"/>
    <w:lsdException w:unhideWhenUsed="1" w:semiHidden="1" w:name="Note Level 5"/>
    <w:lsdException w:unhideWhenUsed="1" w:semiHidden="1" w:name="Note Level 6"/>
    <w:lsdException w:unhideWhenUsed="1" w:semiHidden="1" w:name="Note Level 7"/>
    <w:lsdException w:unhideWhenUsed="1" w:semiHidden="1" w:name="Note Level 8"/>
    <w:lsdException w:unhideWhenUsed="1" w:semiHidden="1" w:name="Note Level 9"/>
    <w:lsdException w:unhideWhenUsed="1" w:semiHidden="1" w:name="Placeholder Text"/>
    <w:lsdException w:qFormat="1" w:name="No Spacing"/>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semiHidden="1" w:name="Revision"/>
    <w:lsdException w:qFormat="1" w:name="List Paragraph"/>
    <w:lsdException w:qFormat="1" w:name="Quote"/>
    <w:lsdException w:qFormat="1" w:name="Intense Quot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sz w:val="20"/>
      <w:szCs w:val="20"/>
      <w:lang w:val="fr-CA" w:eastAsia="fr-FR" w:bidi="ar-SA"/>
    </w:rPr>
  </w:style>
  <w:style w:type="paragraph" w:styleId="Titre1">
    <w:name w:val="Titre 1"/>
    <w:qFormat/>
    <w:basedOn w:val="Normal"/>
    <w:next w:val="Normal"/>
    <w:pPr>
      <w:keepNext/>
      <w:numPr>
        <w:ilvl w:val="0"/>
        <w:numId w:val="1"/>
      </w:numPr>
      <w:tabs>
        <w:tab w:val="left" w:pos="0" w:leader="none"/>
      </w:tabs>
      <w:outlineLvl w:val="0"/>
      <w:outlineLvl w:val="0"/>
    </w:pPr>
    <w:rPr/>
  </w:style>
  <w:style w:type="paragraph" w:styleId="Titre2">
    <w:name w:val="Titre 2"/>
    <w:qFormat/>
    <w:basedOn w:val="Normal"/>
    <w:next w:val="Normal"/>
    <w:pPr>
      <w:keepNext/>
      <w:numPr>
        <w:ilvl w:val="1"/>
        <w:numId w:val="1"/>
      </w:numPr>
      <w:tabs>
        <w:tab w:val="left" w:pos="0" w:leader="none"/>
      </w:tabs>
      <w:outlineLvl w:val="1"/>
      <w:outlineLvl w:val="1"/>
    </w:pPr>
    <w:rPr>
      <w:i/>
      <w:iCs/>
    </w:rPr>
  </w:style>
  <w:style w:type="paragraph" w:styleId="Titre3">
    <w:name w:val="Titre 3"/>
    <w:qFormat/>
    <w:basedOn w:val="Normal"/>
    <w:next w:val="Normal"/>
    <w:pPr>
      <w:keepNext/>
      <w:numPr>
        <w:ilvl w:val="2"/>
        <w:numId w:val="1"/>
      </w:numPr>
      <w:tabs>
        <w:tab w:val="left" w:pos="0" w:leader="none"/>
      </w:tabs>
      <w:spacing w:before="240" w:after="60"/>
      <w:outlineLvl w:val="2"/>
      <w:outlineLvl w:val="2"/>
    </w:pPr>
    <w:rPr/>
  </w:style>
  <w:style w:type="paragraph" w:styleId="Titre4">
    <w:name w:val="Titre 4"/>
    <w:qFormat/>
    <w:basedOn w:val="Normal"/>
    <w:next w:val="Normal"/>
    <w:pPr>
      <w:keepNext/>
      <w:numPr>
        <w:ilvl w:val="3"/>
        <w:numId w:val="1"/>
      </w:numPr>
      <w:tabs>
        <w:tab w:val="left" w:pos="0" w:leader="none"/>
      </w:tabs>
      <w:ind w:left="-720" w:right="0" w:hanging="0"/>
      <w:outlineLvl w:val="3"/>
      <w:outlineLvl w:val="3"/>
    </w:pPr>
    <w:rPr>
      <w:i/>
      <w:iCs/>
    </w:rPr>
  </w:style>
  <w:style w:type="character" w:styleId="DefaultParagraphFont" w:default="1">
    <w:name w:val="Default Paragraph Font"/>
    <w:uiPriority w:val="1"/>
    <w:semiHidden/>
    <w:unhideWhenUsed/>
    <w:rPr/>
  </w:style>
  <w:style w:type="character" w:styleId="Marquedecommentaire1" w:customStyle="1">
    <w:name w:val="Marque de commentaire1"/>
    <w:rPr>
      <w:sz w:val="16"/>
      <w:szCs w:val="16"/>
    </w:rPr>
  </w:style>
  <w:style w:type="character" w:styleId="WW8Num8z3" w:customStyle="1">
    <w:name w:val="WW8Num8z3"/>
    <w:rPr>
      <w:rFonts w:ascii="Symbol" w:hAnsi="Symbol" w:cs="Symbol"/>
    </w:rPr>
  </w:style>
  <w:style w:type="character" w:styleId="WW8Num8z2" w:customStyle="1">
    <w:name w:val="WW8Num8z2"/>
    <w:rPr>
      <w:rFonts w:ascii="Wingdings" w:hAnsi="Wingdings" w:cs="Wingdings"/>
    </w:rPr>
  </w:style>
  <w:style w:type="character" w:styleId="WWAbsatzStandardschriftart111" w:customStyle="1">
    <w:name w:val="WW-Absatz-Standardschriftart111"/>
    <w:rPr/>
  </w:style>
  <w:style w:type="character" w:styleId="WWAbsatzStandardschriftart" w:customStyle="1">
    <w:name w:val="WW-Absatz-Standardschriftart"/>
    <w:rPr/>
  </w:style>
  <w:style w:type="character" w:styleId="WWAbsatzStandardschriftart1" w:customStyle="1">
    <w:name w:val="WW-Absatz-Standardschriftart1"/>
    <w:rPr/>
  </w:style>
  <w:style w:type="character" w:styleId="AbsatzStandardschriftart" w:customStyle="1">
    <w:name w:val="Absatz-Standardschriftart"/>
    <w:rPr/>
  </w:style>
  <w:style w:type="character" w:styleId="WW8Num8z1" w:customStyle="1">
    <w:name w:val="WW8Num8z1"/>
    <w:rPr>
      <w:rFonts w:ascii="Courier New" w:hAnsi="Courier New" w:cs="Courier New"/>
    </w:rPr>
  </w:style>
  <w:style w:type="character" w:styleId="HTMLPreformattedChar" w:customStyle="1">
    <w:name w:val="HTML Preformatted Char"/>
    <w:uiPriority w:val="99"/>
    <w:semiHidden/>
    <w:link w:val="HTMLPreformatted"/>
    <w:basedOn w:val="DefaultParagraphFont"/>
    <w:rPr>
      <w:rFonts w:ascii="Courier New" w:hAnsi="Courier New" w:cs="Courier New"/>
    </w:rPr>
  </w:style>
  <w:style w:type="character" w:styleId="LienInternet">
    <w:name w:val="Lien Internet"/>
    <w:rPr>
      <w:color w:val="000080"/>
      <w:u w:val="single"/>
      <w:lang w:val="zxx" w:eastAsia="zxx" w:bidi="zxx"/>
    </w:rPr>
  </w:style>
  <w:style w:type="character" w:styleId="WWAbsatzStandardschriftart11" w:customStyle="1">
    <w:name w:val="WW-Absatz-Standardschriftart11"/>
    <w:rPr/>
  </w:style>
  <w:style w:type="character" w:styleId="Style8b" w:customStyle="1">
    <w:name w:val="style8b"/>
    <w:rPr/>
  </w:style>
  <w:style w:type="character" w:styleId="Policepardfaut1" w:customStyle="1">
    <w:name w:val="Police par défaut1"/>
    <w:rPr/>
  </w:style>
  <w:style w:type="character" w:styleId="Style81" w:customStyle="1">
    <w:name w:val="style8"/>
    <w:basedOn w:val="Policepardfaut1"/>
    <w:rPr/>
  </w:style>
  <w:style w:type="character" w:styleId="WW8Num8z0" w:customStyle="1">
    <w:name w:val="WW8Num8z0"/>
    <w:rPr/>
  </w:style>
  <w:style w:type="paragraph" w:styleId="Titre">
    <w:name w:val="Titre"/>
    <w:basedOn w:val="Normal"/>
    <w:next w:val="Corpsdetexte"/>
    <w:pPr>
      <w:keepNext/>
      <w:spacing w:before="240" w:after="120"/>
    </w:pPr>
    <w:rPr>
      <w:rFonts w:ascii="Liberation Sans" w:hAnsi="Liberation Sans" w:eastAsia="DejaVu Sans" w:cs="Lohit Devanagari"/>
      <w:sz w:val="28"/>
      <w:szCs w:val="28"/>
    </w:rPr>
  </w:style>
  <w:style w:type="paragraph" w:styleId="Corpsdetexte">
    <w:name w:val="Corps de texte"/>
    <w:basedOn w:val="Normal"/>
    <w:pPr>
      <w:spacing w:lineRule="auto" w:line="288"/>
      <w:jc w:val="both"/>
    </w:pPr>
    <w:rPr/>
  </w:style>
  <w:style w:type="paragraph" w:styleId="Liste">
    <w:name w:val="Liste"/>
    <w:basedOn w:val="Corpsdetexte"/>
    <w:pPr/>
    <w:rPr>
      <w:rFonts w:cs="Lohit Devanagari"/>
    </w:rPr>
  </w:style>
  <w:style w:type="paragraph" w:styleId="Lgende">
    <w:name w:val="Légende"/>
    <w:basedOn w:val="Normal"/>
    <w:pPr>
      <w:suppressLineNumbers/>
      <w:spacing w:before="120" w:after="120"/>
    </w:pPr>
    <w:rPr>
      <w:rFonts w:cs="Lohit Devanagari"/>
      <w:i/>
      <w:iCs/>
      <w:sz w:val="24"/>
      <w:szCs w:val="24"/>
    </w:rPr>
  </w:style>
  <w:style w:type="paragraph" w:styleId="Index" w:customStyle="1">
    <w:name w:val="Index"/>
    <w:basedOn w:val="Normal"/>
    <w:pPr>
      <w:suppressLineNumbers/>
    </w:pPr>
    <w:rPr>
      <w:rFonts w:cs="Lohit Devanagari"/>
    </w:rPr>
  </w:style>
  <w:style w:type="paragraph" w:styleId="Style31" w:customStyle="1">
    <w:name w:val="_Style 3"/>
    <w:uiPriority w:val="70"/>
    <w:qFormat/>
    <w:basedOn w:val="Normal"/>
    <w:next w:val="Normal"/>
    <w:pPr/>
    <w:rPr/>
  </w:style>
  <w:style w:type="paragraph" w:styleId="Style11" w:customStyle="1">
    <w:name w:val="_Style 1"/>
    <w:uiPriority w:val="99"/>
    <w:qFormat/>
    <w:next w:val="Normal"/>
    <w:pPr>
      <w:widowControl/>
      <w:suppressAutoHyphens w:val="true"/>
      <w:bidi w:val="0"/>
      <w:jc w:val="left"/>
    </w:pPr>
    <w:rPr>
      <w:rFonts w:ascii="Calibri" w:hAnsi="Calibri" w:eastAsia="Calibri" w:cs="Times New Roman"/>
      <w:color w:val="auto"/>
      <w:sz w:val="24"/>
      <w:szCs w:val="22"/>
      <w:lang w:val="fr-FR" w:eastAsia="en-US" w:bidi="ar-SA"/>
    </w:rPr>
  </w:style>
  <w:style w:type="paragraph" w:styleId="Bibliography">
    <w:name w:val="Bibliography"/>
    <w:uiPriority w:val="70"/>
    <w:basedOn w:val="Normal"/>
    <w:next w:val="Normal"/>
    <w:pPr/>
    <w:rPr/>
  </w:style>
  <w:style w:type="paragraph" w:styleId="NoSpacing">
    <w:name w:val="No Spacing"/>
    <w:uiPriority w:val="99"/>
    <w:qFormat/>
    <w:pPr>
      <w:widowControl/>
      <w:suppressAutoHyphens w:val="true"/>
      <w:bidi w:val="0"/>
      <w:jc w:val="left"/>
    </w:pPr>
    <w:rPr>
      <w:rFonts w:ascii="Calibri" w:hAnsi="Calibri" w:eastAsia="Calibri" w:cs="Times New Roman"/>
      <w:color w:val="auto"/>
      <w:sz w:val="24"/>
      <w:szCs w:val="22"/>
      <w:lang w:val="fr-FR" w:eastAsia="en-US" w:bidi="ar-SA"/>
    </w:rPr>
  </w:style>
  <w:style w:type="paragraph" w:styleId="Contenudetableau" w:customStyle="1">
    <w:name w:val="Contenu de tableau"/>
    <w:basedOn w:val="Normal"/>
    <w:pPr>
      <w:suppressLineNumbers/>
    </w:pPr>
    <w:rPr/>
  </w:style>
  <w:style w:type="paragraph" w:styleId="Corpsdetexte21" w:customStyle="1">
    <w:name w:val="Corps de texte 21"/>
    <w:basedOn w:val="Normal"/>
    <w:pPr/>
    <w:rPr/>
  </w:style>
  <w:style w:type="paragraph" w:styleId="Texte" w:customStyle="1">
    <w:name w:val="Texte"/>
    <w:basedOn w:val="Normal"/>
    <w:pPr>
      <w:spacing w:lineRule="atLeast" w:line="360"/>
      <w:jc w:val="both"/>
    </w:pPr>
    <w:rPr/>
  </w:style>
  <w:style w:type="paragraph" w:styleId="BalloonText">
    <w:name w:val="Balloon Text"/>
    <w:basedOn w:val="Normal"/>
    <w:pPr/>
    <w:rPr/>
  </w:style>
  <w:style w:type="paragraph" w:styleId="Corpsdetexte31" w:customStyle="1">
    <w:name w:val="Corps de texte 31"/>
    <w:basedOn w:val="Normal"/>
    <w:pPr>
      <w:jc w:val="both"/>
    </w:pPr>
    <w:rPr/>
  </w:style>
  <w:style w:type="paragraph" w:styleId="Caption">
    <w:name w:val="caption"/>
    <w:qFormat/>
    <w:basedOn w:val="Normal"/>
    <w:pPr>
      <w:suppressLineNumbers/>
      <w:spacing w:before="120" w:after="120"/>
    </w:pPr>
    <w:rPr/>
  </w:style>
  <w:style w:type="paragraph" w:styleId="Contenuducadre" w:customStyle="1">
    <w:name w:val="Contenu du cadre"/>
    <w:basedOn w:val="Corpsdetexte"/>
    <w:pPr/>
    <w:rPr/>
  </w:style>
  <w:style w:type="paragraph" w:styleId="Retraitdecorpsdetexte">
    <w:name w:val="Retrait de corps de texte"/>
    <w:basedOn w:val="Normal"/>
    <w:pPr>
      <w:ind w:left="540" w:right="0" w:hanging="540"/>
    </w:pPr>
    <w:rPr/>
  </w:style>
  <w:style w:type="paragraph" w:styleId="Titre11" w:customStyle="1">
    <w:name w:val="Titre1"/>
    <w:basedOn w:val="Normal"/>
    <w:next w:val="Corpsdetexte"/>
    <w:pPr>
      <w:jc w:val="center"/>
    </w:pPr>
    <w:rPr>
      <w:b/>
      <w:bCs/>
    </w:rPr>
  </w:style>
  <w:style w:type="paragraph" w:styleId="Commentaire1" w:customStyle="1">
    <w:name w:val="Commentaire1"/>
    <w:basedOn w:val="Normal"/>
    <w:pPr/>
    <w:rPr/>
  </w:style>
  <w:style w:type="paragraph" w:styleId="Annotationsubject">
    <w:name w:val="annotation subject"/>
    <w:basedOn w:val="Commentaire1"/>
    <w:next w:val="Commentaire1"/>
    <w:pPr/>
    <w:rPr>
      <w:b/>
      <w:bCs/>
    </w:rPr>
  </w:style>
  <w:style w:type="paragraph" w:styleId="HTMLPreformatted">
    <w:name w:val="HTML Preformatted"/>
    <w:uiPriority w:val="99"/>
    <w:unhideWhenUsed/>
    <w:link w:val="HTMLPreformattedChar"/>
    <w:basedOn w:val="Normal"/>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lang w:val="fr-FR"/>
    </w:rPr>
  </w:style>
  <w:style w:type="paragraph" w:styleId="Texteprformat" w:customStyle="1">
    <w:name w:val="Texte préformaté"/>
    <w:basedOn w:val="Normal"/>
    <w:pPr/>
    <w:rPr/>
  </w:style>
  <w:style w:type="paragraph" w:styleId="Titredetableau" w:customStyle="1">
    <w:name w:val="Titre de tableau"/>
    <w:basedOn w:val="Contenudetableau"/>
    <w:pPr>
      <w:jc w:val="center"/>
    </w:pPr>
    <w:rPr>
      <w:b/>
      <w:bCs/>
    </w:rPr>
  </w:style>
  <w:style w:type="paragraph" w:styleId="NormalParagrSab" w:customStyle="1">
    <w:name w:val="NormalParagrSab"/>
    <w:basedOn w:val="Normal"/>
    <w:pPr>
      <w:spacing w:before="0" w:after="200"/>
      <w:ind w:left="0" w:right="0" w:firstLine="709"/>
      <w:jc w:val="both"/>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ude.leynaert@univ-brest.fr" TargetMode="External"/><Relationship Id="rId3" Type="http://schemas.openxmlformats.org/officeDocument/2006/relationships/hyperlink" Target="mailto:karine.leblanc@univ-amu.fr" TargetMode="External"/><Relationship Id="rId4" Type="http://schemas.openxmlformats.org/officeDocument/2006/relationships/hyperlink" Target="mailto:aude.leynaert@univ-brest.fr"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LibreOffice/4.2.8.2$Linux_X86_64 LibreOffice_project/420$Build-2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2017-01-13T15:59:00Z</dcterms:created>
  <dc:creator>Compaq</dc:creator>
  <cp:keywords>methodes objectifs scientifiques fichiers</cp:keywords>
  <dc:language>en-US</dc:language>
  <cp:lastModifiedBy>Microsoft Office User</cp:lastModifiedBy>
  <dcterms:modified xsi:type="dcterms:W3CDTF">2017-01-13T15:59:00Z</dcterms:modified>
  <cp:revision>2</cp:revision>
  <dc:subject>param mesures / objectifs / methodes / observations</dc:subject>
  <dc:title>meta_information_param</dc:title>
</cp:coreProperties>
</file>